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596" w:rsidRDefault="007A1596">
      <w:pPr>
        <w:spacing w:line="590" w:lineRule="exact"/>
        <w:ind w:firstLine="0"/>
        <w:jc w:val="left"/>
        <w:rPr>
          <w:rFonts w:eastAsia="方正黑体_GBK"/>
          <w:kern w:val="20"/>
          <w:szCs w:val="32"/>
        </w:rPr>
      </w:pPr>
    </w:p>
    <w:p w:rsidR="007A1596" w:rsidRPr="00985107" w:rsidRDefault="00DC4461">
      <w:pPr>
        <w:spacing w:line="700" w:lineRule="exact"/>
        <w:ind w:firstLine="0"/>
        <w:jc w:val="center"/>
        <w:rPr>
          <w:rFonts w:ascii="方正小标宋_GBK" w:eastAsia="方正小标宋_GBK"/>
          <w:kern w:val="32"/>
          <w:sz w:val="44"/>
          <w:szCs w:val="44"/>
        </w:rPr>
      </w:pPr>
      <w:r w:rsidRPr="00985107">
        <w:rPr>
          <w:rFonts w:ascii="方正小标宋_GBK" w:eastAsia="方正小标宋_GBK" w:hint="eastAsia"/>
          <w:kern w:val="32"/>
          <w:sz w:val="44"/>
          <w:szCs w:val="44"/>
        </w:rPr>
        <w:t>南通市基层医疗卫生服务能力</w:t>
      </w:r>
    </w:p>
    <w:p w:rsidR="007A1596" w:rsidRPr="00985107" w:rsidRDefault="00DC4461">
      <w:pPr>
        <w:spacing w:line="700" w:lineRule="exact"/>
        <w:ind w:firstLine="0"/>
        <w:jc w:val="center"/>
        <w:rPr>
          <w:rFonts w:ascii="方正小标宋_GBK" w:eastAsia="方正小标宋_GBK"/>
          <w:kern w:val="32"/>
          <w:sz w:val="44"/>
          <w:szCs w:val="44"/>
        </w:rPr>
      </w:pPr>
      <w:r w:rsidRPr="00985107">
        <w:rPr>
          <w:rFonts w:ascii="方正小标宋_GBK" w:eastAsia="方正小标宋_GBK" w:hint="eastAsia"/>
          <w:kern w:val="32"/>
          <w:sz w:val="44"/>
          <w:szCs w:val="44"/>
        </w:rPr>
        <w:t>提升三年行动方案（2023—2025年）</w:t>
      </w:r>
    </w:p>
    <w:p w:rsidR="007A1596" w:rsidRPr="00FE7617" w:rsidRDefault="00FE7617" w:rsidP="00FE7617">
      <w:pPr>
        <w:pStyle w:val="a3"/>
        <w:spacing w:line="560" w:lineRule="exact"/>
        <w:ind w:firstLineChars="0" w:firstLine="0"/>
        <w:jc w:val="center"/>
        <w:rPr>
          <w:rFonts w:ascii="方正楷体_GBK" w:eastAsia="方正楷体_GBK" w:hint="eastAsia"/>
          <w:szCs w:val="32"/>
        </w:rPr>
      </w:pPr>
      <w:r w:rsidRPr="00FE7617">
        <w:rPr>
          <w:rFonts w:ascii="方正楷体_GBK" w:eastAsia="方正楷体_GBK" w:hint="eastAsia"/>
          <w:szCs w:val="32"/>
        </w:rPr>
        <w:t>（征求意见稿）</w:t>
      </w:r>
    </w:p>
    <w:p w:rsidR="00FE7617" w:rsidRDefault="00FE7617">
      <w:pPr>
        <w:spacing w:line="580" w:lineRule="exact"/>
        <w:rPr>
          <w:rFonts w:hint="eastAsia"/>
          <w:kern w:val="32"/>
          <w:szCs w:val="32"/>
        </w:rPr>
      </w:pPr>
    </w:p>
    <w:p w:rsidR="007A1596" w:rsidRDefault="00DC4461">
      <w:pPr>
        <w:spacing w:line="580" w:lineRule="exact"/>
        <w:rPr>
          <w:kern w:val="32"/>
          <w:szCs w:val="32"/>
        </w:rPr>
      </w:pPr>
      <w:r>
        <w:rPr>
          <w:rFonts w:hint="eastAsia"/>
          <w:kern w:val="32"/>
          <w:szCs w:val="32"/>
        </w:rPr>
        <w:t>近年来，我市按照“保基本、强基层、建机制”的总体要求，持续强化基层医疗卫生服务体系建设，大力实施卫生人才强基工程，基层卫生健康工作取得积极进步和成效，但与人民群众健康需求和经济社会发展要求相比还存在差距。为深入贯彻落实新时代党的卫生与健康工作方针，切实把“以基层为重点”、“把工作重点放在农村和社区”落到实处，全面提升基层医疗卫生服务能力和水平，加快推进基层卫生健康高质量发展，特制定本方案。</w:t>
      </w:r>
    </w:p>
    <w:p w:rsidR="007A1596" w:rsidRDefault="00DC4461">
      <w:pPr>
        <w:pStyle w:val="a3"/>
        <w:numPr>
          <w:ilvl w:val="0"/>
          <w:numId w:val="1"/>
        </w:numPr>
        <w:spacing w:line="580" w:lineRule="exact"/>
        <w:ind w:firstLine="640"/>
        <w:rPr>
          <w:rFonts w:eastAsia="方正黑体_GBK"/>
          <w:kern w:val="32"/>
          <w:szCs w:val="32"/>
        </w:rPr>
      </w:pPr>
      <w:r>
        <w:rPr>
          <w:rFonts w:eastAsia="方正黑体_GBK" w:hint="eastAsia"/>
          <w:kern w:val="32"/>
          <w:szCs w:val="32"/>
        </w:rPr>
        <w:t>指导思想</w:t>
      </w:r>
    </w:p>
    <w:p w:rsidR="007A1596" w:rsidRDefault="00DC4461">
      <w:pPr>
        <w:spacing w:line="580" w:lineRule="exact"/>
        <w:rPr>
          <w:kern w:val="32"/>
          <w:szCs w:val="32"/>
        </w:rPr>
      </w:pPr>
      <w:r>
        <w:rPr>
          <w:rFonts w:hint="eastAsia"/>
          <w:kern w:val="32"/>
          <w:szCs w:val="32"/>
        </w:rPr>
        <w:t>以习近平新时代中国特色社会主义思想为指导，全面贯彻党的二十大精神，深入贯彻落实习近平总书记关于卫生健康工作的重要论述，坚持把保障人民健康放在优先发展的战略位置，聚焦健康中国、积极应对人口老龄化和乡村振兴等国家战略，紧扣强基层目标，把更多的注意力、精力、财力、物力投向基层，把更好的人才、技术、管理、机制引向基层，提升服务能力，创新服务模式，全面</w:t>
      </w:r>
      <w:r>
        <w:rPr>
          <w:rFonts w:hint="eastAsia"/>
          <w:kern w:val="32"/>
          <w:szCs w:val="32"/>
          <w:lang w:val="zh-CN"/>
        </w:rPr>
        <w:t>实施“强基”“壮腰”“提峰”三项工程，不断提升基层医疗机构的基础能力，</w:t>
      </w:r>
      <w:r>
        <w:rPr>
          <w:rFonts w:hint="eastAsia"/>
          <w:kern w:val="32"/>
          <w:szCs w:val="32"/>
        </w:rPr>
        <w:t>确保人民群众就近</w:t>
      </w:r>
      <w:r>
        <w:rPr>
          <w:rFonts w:hint="eastAsia"/>
          <w:kern w:val="32"/>
          <w:szCs w:val="32"/>
          <w:lang w:val="zh-CN"/>
        </w:rPr>
        <w:t>公平享有</w:t>
      </w:r>
      <w:r>
        <w:rPr>
          <w:rFonts w:hint="eastAsia"/>
          <w:kern w:val="32"/>
          <w:szCs w:val="32"/>
        </w:rPr>
        <w:t>满意的</w:t>
      </w:r>
      <w:r>
        <w:rPr>
          <w:rFonts w:hint="eastAsia"/>
          <w:kern w:val="32"/>
          <w:szCs w:val="32"/>
          <w:lang w:val="zh-CN"/>
        </w:rPr>
        <w:lastRenderedPageBreak/>
        <w:t>基本医疗卫生服务，</w:t>
      </w:r>
      <w:r>
        <w:rPr>
          <w:rFonts w:hint="eastAsia"/>
          <w:kern w:val="32"/>
          <w:szCs w:val="32"/>
        </w:rPr>
        <w:t>为推进健康南通建设和经济社会高质量发展夯实基层基础。</w:t>
      </w:r>
    </w:p>
    <w:p w:rsidR="007A1596" w:rsidRDefault="00DC4461">
      <w:pPr>
        <w:numPr>
          <w:ilvl w:val="0"/>
          <w:numId w:val="1"/>
        </w:numPr>
        <w:spacing w:line="580" w:lineRule="exact"/>
        <w:ind w:firstLineChars="200" w:firstLine="640"/>
        <w:rPr>
          <w:rFonts w:eastAsia="方正黑体_GBK"/>
          <w:kern w:val="32"/>
          <w:szCs w:val="32"/>
        </w:rPr>
      </w:pPr>
      <w:r>
        <w:rPr>
          <w:rFonts w:eastAsia="方正黑体_GBK" w:hint="eastAsia"/>
          <w:kern w:val="32"/>
          <w:szCs w:val="32"/>
        </w:rPr>
        <w:t>工作目标</w:t>
      </w:r>
    </w:p>
    <w:p w:rsidR="007A1596" w:rsidRDefault="00DC4461">
      <w:pPr>
        <w:pStyle w:val="a8"/>
        <w:spacing w:after="0" w:line="580" w:lineRule="exact"/>
        <w:ind w:firstLineChars="200" w:firstLine="640"/>
        <w:rPr>
          <w:szCs w:val="32"/>
        </w:rPr>
      </w:pPr>
      <w:r>
        <w:rPr>
          <w:rFonts w:hint="eastAsia"/>
          <w:szCs w:val="32"/>
        </w:rPr>
        <w:t>到</w:t>
      </w:r>
      <w:r>
        <w:rPr>
          <w:rFonts w:hint="eastAsia"/>
          <w:szCs w:val="32"/>
        </w:rPr>
        <w:t>2025</w:t>
      </w:r>
      <w:r>
        <w:rPr>
          <w:rFonts w:hint="eastAsia"/>
          <w:szCs w:val="32"/>
        </w:rPr>
        <w:t>年，全市达到“优质服务基层行”国家基本</w:t>
      </w:r>
      <w:r>
        <w:rPr>
          <w:rFonts w:hint="eastAsia"/>
          <w:szCs w:val="32"/>
          <w:lang w:val="zh-CN"/>
        </w:rPr>
        <w:t>标准和</w:t>
      </w:r>
      <w:r>
        <w:rPr>
          <w:rFonts w:hint="eastAsia"/>
          <w:szCs w:val="32"/>
        </w:rPr>
        <w:t>推荐</w:t>
      </w:r>
      <w:r>
        <w:rPr>
          <w:rFonts w:hint="eastAsia"/>
          <w:szCs w:val="32"/>
          <w:lang w:val="zh-CN"/>
        </w:rPr>
        <w:t>标准的乡镇卫生院（社区卫生服务中心）覆盖率分别为</w:t>
      </w:r>
      <w:r>
        <w:rPr>
          <w:rFonts w:hint="eastAsia"/>
          <w:szCs w:val="32"/>
        </w:rPr>
        <w:t>100%</w:t>
      </w:r>
      <w:r>
        <w:rPr>
          <w:rFonts w:hint="eastAsia"/>
          <w:szCs w:val="32"/>
        </w:rPr>
        <w:t>、</w:t>
      </w:r>
      <w:r>
        <w:rPr>
          <w:rFonts w:hint="eastAsia"/>
          <w:szCs w:val="32"/>
        </w:rPr>
        <w:t>50%</w:t>
      </w:r>
      <w:r>
        <w:rPr>
          <w:rFonts w:hint="eastAsia"/>
          <w:szCs w:val="32"/>
          <w:lang w:val="zh-CN"/>
        </w:rPr>
        <w:t>；</w:t>
      </w:r>
      <w:r>
        <w:rPr>
          <w:rFonts w:hint="eastAsia"/>
          <w:szCs w:val="32"/>
        </w:rPr>
        <w:t>建成社区医院的乡镇卫生院（社区卫生服务中心）达</w:t>
      </w:r>
      <w:r>
        <w:rPr>
          <w:rFonts w:hint="eastAsia"/>
          <w:szCs w:val="32"/>
        </w:rPr>
        <w:t>20%</w:t>
      </w:r>
      <w:r>
        <w:rPr>
          <w:rFonts w:hint="eastAsia"/>
          <w:szCs w:val="32"/>
        </w:rPr>
        <w:t>以上；达到基本标准和推荐标准的村卫生室（社区卫生服务站）</w:t>
      </w:r>
      <w:r>
        <w:rPr>
          <w:rFonts w:hint="eastAsia"/>
          <w:szCs w:val="32"/>
          <w:lang w:val="zh-CN"/>
        </w:rPr>
        <w:t>覆盖率分别为</w:t>
      </w:r>
      <w:r>
        <w:rPr>
          <w:rFonts w:hint="eastAsia"/>
          <w:szCs w:val="32"/>
        </w:rPr>
        <w:t>80%</w:t>
      </w:r>
      <w:r>
        <w:rPr>
          <w:rFonts w:hint="eastAsia"/>
          <w:szCs w:val="32"/>
        </w:rPr>
        <w:t>、</w:t>
      </w:r>
      <w:r>
        <w:rPr>
          <w:rFonts w:hint="eastAsia"/>
          <w:szCs w:val="32"/>
        </w:rPr>
        <w:t>20%</w:t>
      </w:r>
      <w:r>
        <w:rPr>
          <w:rFonts w:hint="eastAsia"/>
          <w:szCs w:val="32"/>
        </w:rPr>
        <w:t>；至少拥有</w:t>
      </w:r>
      <w:r>
        <w:rPr>
          <w:rFonts w:hint="eastAsia"/>
          <w:szCs w:val="32"/>
        </w:rPr>
        <w:t>1</w:t>
      </w:r>
      <w:r>
        <w:rPr>
          <w:rFonts w:hint="eastAsia"/>
          <w:szCs w:val="32"/>
        </w:rPr>
        <w:t>个</w:t>
      </w:r>
      <w:r>
        <w:rPr>
          <w:rFonts w:hint="eastAsia"/>
          <w:szCs w:val="32"/>
          <w:lang w:val="zh-CN"/>
        </w:rPr>
        <w:t>基层特色科室</w:t>
      </w:r>
      <w:r>
        <w:rPr>
          <w:rFonts w:hint="eastAsia"/>
          <w:szCs w:val="32"/>
        </w:rPr>
        <w:t>的</w:t>
      </w:r>
      <w:r>
        <w:rPr>
          <w:rFonts w:hint="eastAsia"/>
          <w:szCs w:val="32"/>
          <w:lang w:val="zh-CN"/>
        </w:rPr>
        <w:t>乡镇卫生院达</w:t>
      </w:r>
      <w:r>
        <w:rPr>
          <w:rFonts w:hint="eastAsia"/>
          <w:szCs w:val="32"/>
        </w:rPr>
        <w:t>8</w:t>
      </w:r>
      <w:r>
        <w:rPr>
          <w:rFonts w:hint="eastAsia"/>
          <w:szCs w:val="32"/>
          <w:lang w:val="zh-CN"/>
        </w:rPr>
        <w:t>0%</w:t>
      </w:r>
      <w:r>
        <w:rPr>
          <w:rFonts w:hint="eastAsia"/>
          <w:szCs w:val="32"/>
          <w:lang w:val="zh-CN"/>
        </w:rPr>
        <w:t>，</w:t>
      </w:r>
      <w:r>
        <w:rPr>
          <w:rFonts w:hint="eastAsia"/>
          <w:szCs w:val="32"/>
        </w:rPr>
        <w:t>拥有</w:t>
      </w:r>
      <w:r>
        <w:rPr>
          <w:rFonts w:hint="eastAsia"/>
          <w:szCs w:val="32"/>
        </w:rPr>
        <w:t>2</w:t>
      </w:r>
      <w:r>
        <w:rPr>
          <w:rFonts w:hint="eastAsia"/>
          <w:szCs w:val="32"/>
        </w:rPr>
        <w:t>个及以上</w:t>
      </w:r>
      <w:r>
        <w:rPr>
          <w:rFonts w:hint="eastAsia"/>
          <w:szCs w:val="32"/>
          <w:lang w:val="zh-CN"/>
        </w:rPr>
        <w:t>基层特色科室</w:t>
      </w:r>
      <w:r>
        <w:rPr>
          <w:rFonts w:hint="eastAsia"/>
          <w:szCs w:val="32"/>
        </w:rPr>
        <w:t>的</w:t>
      </w:r>
      <w:r>
        <w:rPr>
          <w:rFonts w:hint="eastAsia"/>
          <w:szCs w:val="32"/>
          <w:lang w:val="zh-CN"/>
        </w:rPr>
        <w:t>乡镇卫生院达</w:t>
      </w:r>
      <w:r>
        <w:rPr>
          <w:rFonts w:hint="eastAsia"/>
          <w:szCs w:val="32"/>
        </w:rPr>
        <w:t>50</w:t>
      </w:r>
      <w:r>
        <w:rPr>
          <w:rFonts w:hint="eastAsia"/>
          <w:szCs w:val="32"/>
          <w:lang w:val="zh-CN"/>
        </w:rPr>
        <w:t>%</w:t>
      </w:r>
      <w:r>
        <w:rPr>
          <w:rFonts w:hint="eastAsia"/>
          <w:szCs w:val="32"/>
          <w:lang w:val="zh-CN"/>
        </w:rPr>
        <w:t>；</w:t>
      </w:r>
      <w:r>
        <w:rPr>
          <w:rFonts w:hint="eastAsia"/>
          <w:szCs w:val="32"/>
        </w:rPr>
        <w:t>农村区域性医疗卫生中心十大功能中心（其中血液透析中心、基层卫生人员技能实训中心可共建共享）建设率达</w:t>
      </w:r>
      <w:r>
        <w:rPr>
          <w:rFonts w:hint="eastAsia"/>
          <w:szCs w:val="32"/>
        </w:rPr>
        <w:t>100%</w:t>
      </w:r>
      <w:r>
        <w:rPr>
          <w:rFonts w:hint="eastAsia"/>
          <w:szCs w:val="32"/>
        </w:rPr>
        <w:t>；</w:t>
      </w:r>
      <w:r>
        <w:rPr>
          <w:rFonts w:hint="eastAsia"/>
          <w:szCs w:val="32"/>
          <w:lang w:val="zh-CN"/>
        </w:rPr>
        <w:t>全市城乡每万服务人口基层卫生人员</w:t>
      </w:r>
      <w:r>
        <w:rPr>
          <w:rFonts w:hint="eastAsia"/>
          <w:szCs w:val="32"/>
        </w:rPr>
        <w:t>配备达到</w:t>
      </w:r>
      <w:r>
        <w:rPr>
          <w:rFonts w:hint="eastAsia"/>
          <w:szCs w:val="32"/>
          <w:lang w:val="zh-CN"/>
        </w:rPr>
        <w:t>35</w:t>
      </w:r>
      <w:r>
        <w:rPr>
          <w:rFonts w:hint="eastAsia"/>
          <w:szCs w:val="32"/>
          <w:lang w:val="zh-CN"/>
        </w:rPr>
        <w:t>名，乡镇卫生院每万常住人口基层卫生人员</w:t>
      </w:r>
      <w:r>
        <w:rPr>
          <w:rFonts w:hint="eastAsia"/>
          <w:szCs w:val="32"/>
        </w:rPr>
        <w:t>编制达到</w:t>
      </w:r>
      <w:r>
        <w:rPr>
          <w:rFonts w:hint="eastAsia"/>
          <w:szCs w:val="32"/>
        </w:rPr>
        <w:t>11-15</w:t>
      </w:r>
      <w:r>
        <w:rPr>
          <w:rFonts w:hint="eastAsia"/>
          <w:szCs w:val="32"/>
        </w:rPr>
        <w:t>名，最高不超</w:t>
      </w:r>
      <w:r>
        <w:rPr>
          <w:rFonts w:hint="eastAsia"/>
          <w:szCs w:val="32"/>
        </w:rPr>
        <w:t>18</w:t>
      </w:r>
      <w:r>
        <w:rPr>
          <w:rFonts w:hint="eastAsia"/>
          <w:szCs w:val="32"/>
        </w:rPr>
        <w:t>名，社区卫生服务中心按每万服务人口</w:t>
      </w:r>
      <w:r>
        <w:rPr>
          <w:rFonts w:hint="eastAsia"/>
          <w:szCs w:val="32"/>
        </w:rPr>
        <w:t>2-3</w:t>
      </w:r>
      <w:r>
        <w:rPr>
          <w:rFonts w:hint="eastAsia"/>
          <w:szCs w:val="32"/>
        </w:rPr>
        <w:t>名全科医师、</w:t>
      </w:r>
      <w:r>
        <w:rPr>
          <w:rFonts w:hint="eastAsia"/>
          <w:szCs w:val="32"/>
        </w:rPr>
        <w:t>1</w:t>
      </w:r>
      <w:r>
        <w:rPr>
          <w:rFonts w:hint="eastAsia"/>
          <w:szCs w:val="32"/>
        </w:rPr>
        <w:t>名公共卫</w:t>
      </w:r>
      <w:r>
        <w:rPr>
          <w:rFonts w:hint="eastAsia"/>
          <w:szCs w:val="32"/>
          <w:lang w:val="zh-CN"/>
        </w:rPr>
        <w:t>生医师、</w:t>
      </w:r>
      <w:r>
        <w:rPr>
          <w:rFonts w:hint="eastAsia"/>
          <w:szCs w:val="32"/>
          <w:lang w:val="zh-CN"/>
        </w:rPr>
        <w:t>2-3</w:t>
      </w:r>
      <w:r>
        <w:rPr>
          <w:rFonts w:hint="eastAsia"/>
          <w:szCs w:val="32"/>
          <w:lang w:val="zh-CN"/>
        </w:rPr>
        <w:t>名护士配备；</w:t>
      </w:r>
      <w:r>
        <w:rPr>
          <w:rFonts w:hint="eastAsia"/>
          <w:szCs w:val="32"/>
        </w:rPr>
        <w:t>每个乡镇卫生院（社区卫生服务中心）拥有具有精神卫生执业资质的医师不少于</w:t>
      </w:r>
      <w:r>
        <w:rPr>
          <w:rFonts w:hint="eastAsia"/>
          <w:szCs w:val="32"/>
        </w:rPr>
        <w:t>2</w:t>
      </w:r>
      <w:r>
        <w:rPr>
          <w:rFonts w:hint="eastAsia"/>
          <w:szCs w:val="32"/>
        </w:rPr>
        <w:t>名。（以上指标如遇国家或省调整，我市按照新标准高指标执行）</w:t>
      </w:r>
    </w:p>
    <w:p w:rsidR="007A1596" w:rsidRDefault="00DC4461">
      <w:pPr>
        <w:pStyle w:val="a8"/>
        <w:spacing w:after="0" w:line="600" w:lineRule="exact"/>
        <w:ind w:firstLineChars="0" w:firstLine="0"/>
        <w:jc w:val="center"/>
        <w:rPr>
          <w:rFonts w:ascii="黑体" w:eastAsia="黑体" w:hAnsi="黑体"/>
          <w:szCs w:val="32"/>
        </w:rPr>
      </w:pPr>
      <w:r>
        <w:rPr>
          <w:rFonts w:ascii="黑体" w:eastAsia="黑体" w:hAnsi="黑体" w:hint="eastAsia"/>
          <w:szCs w:val="32"/>
        </w:rPr>
        <w:t>基层医疗卫生机构建设类目标值</w:t>
      </w:r>
    </w:p>
    <w:tbl>
      <w:tblPr>
        <w:tblStyle w:val="a9"/>
        <w:tblW w:w="8832" w:type="dxa"/>
        <w:tblLook w:val="04A0"/>
      </w:tblPr>
      <w:tblGrid>
        <w:gridCol w:w="911"/>
        <w:gridCol w:w="1111"/>
        <w:gridCol w:w="1014"/>
        <w:gridCol w:w="727"/>
        <w:gridCol w:w="949"/>
        <w:gridCol w:w="952"/>
        <w:gridCol w:w="791"/>
        <w:gridCol w:w="793"/>
        <w:gridCol w:w="1584"/>
      </w:tblGrid>
      <w:tr w:rsidR="007A1596">
        <w:trPr>
          <w:trHeight w:val="498"/>
        </w:trPr>
        <w:tc>
          <w:tcPr>
            <w:tcW w:w="911" w:type="dxa"/>
            <w:vMerge w:val="restart"/>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类　别</w:t>
            </w:r>
          </w:p>
        </w:tc>
        <w:tc>
          <w:tcPr>
            <w:tcW w:w="2125" w:type="dxa"/>
            <w:gridSpan w:val="2"/>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优质服务基层行</w:t>
            </w:r>
          </w:p>
        </w:tc>
        <w:tc>
          <w:tcPr>
            <w:tcW w:w="727" w:type="dxa"/>
            <w:vMerge w:val="restart"/>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社区医院占比</w:t>
            </w:r>
            <w:r>
              <w:rPr>
                <w:rFonts w:eastAsia="方正黑体_GBK" w:hint="eastAsia"/>
                <w:kern w:val="32"/>
                <w:sz w:val="18"/>
                <w:szCs w:val="18"/>
              </w:rPr>
              <w:t>%</w:t>
            </w:r>
          </w:p>
        </w:tc>
        <w:tc>
          <w:tcPr>
            <w:tcW w:w="1901" w:type="dxa"/>
            <w:gridSpan w:val="2"/>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村卫生室</w:t>
            </w:r>
          </w:p>
        </w:tc>
        <w:tc>
          <w:tcPr>
            <w:tcW w:w="1584" w:type="dxa"/>
            <w:gridSpan w:val="2"/>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基层特色科室</w:t>
            </w:r>
          </w:p>
        </w:tc>
        <w:tc>
          <w:tcPr>
            <w:tcW w:w="1584" w:type="dxa"/>
            <w:vMerge w:val="restart"/>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农村区域性医疗卫生中心十大功能中心（选建中心除外）建设率</w:t>
            </w:r>
            <w:r>
              <w:rPr>
                <w:rFonts w:eastAsia="方正黑体_GBK" w:hint="eastAsia"/>
                <w:kern w:val="32"/>
                <w:sz w:val="18"/>
                <w:szCs w:val="18"/>
              </w:rPr>
              <w:t>%</w:t>
            </w:r>
          </w:p>
        </w:tc>
      </w:tr>
      <w:tr w:rsidR="007A1596">
        <w:trPr>
          <w:trHeight w:val="267"/>
        </w:trPr>
        <w:tc>
          <w:tcPr>
            <w:tcW w:w="911" w:type="dxa"/>
            <w:vMerge/>
            <w:vAlign w:val="center"/>
          </w:tcPr>
          <w:p w:rsidR="007A1596" w:rsidRDefault="007A1596">
            <w:pPr>
              <w:spacing w:line="280" w:lineRule="exact"/>
              <w:ind w:firstLine="0"/>
              <w:jc w:val="center"/>
              <w:rPr>
                <w:rFonts w:eastAsia="方正黑体_GBK"/>
                <w:kern w:val="32"/>
                <w:sz w:val="18"/>
                <w:szCs w:val="18"/>
              </w:rPr>
            </w:pPr>
          </w:p>
        </w:tc>
        <w:tc>
          <w:tcPr>
            <w:tcW w:w="1111" w:type="dxa"/>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达国家推荐标准占比</w:t>
            </w:r>
            <w:r>
              <w:rPr>
                <w:rFonts w:eastAsia="方正黑体_GBK" w:hint="eastAsia"/>
                <w:kern w:val="32"/>
                <w:sz w:val="18"/>
                <w:szCs w:val="18"/>
              </w:rPr>
              <w:t>%</w:t>
            </w:r>
          </w:p>
        </w:tc>
        <w:tc>
          <w:tcPr>
            <w:tcW w:w="1013" w:type="dxa"/>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达国家基本标准占比</w:t>
            </w:r>
            <w:r>
              <w:rPr>
                <w:rFonts w:eastAsia="方正黑体_GBK" w:hint="eastAsia"/>
                <w:kern w:val="32"/>
                <w:sz w:val="18"/>
                <w:szCs w:val="18"/>
              </w:rPr>
              <w:t>%</w:t>
            </w:r>
          </w:p>
        </w:tc>
        <w:tc>
          <w:tcPr>
            <w:tcW w:w="727" w:type="dxa"/>
            <w:vMerge/>
            <w:vAlign w:val="center"/>
          </w:tcPr>
          <w:p w:rsidR="007A1596" w:rsidRDefault="007A1596">
            <w:pPr>
              <w:spacing w:line="280" w:lineRule="exact"/>
              <w:ind w:firstLine="0"/>
              <w:jc w:val="center"/>
              <w:rPr>
                <w:rFonts w:eastAsia="方正黑体_GBK"/>
                <w:kern w:val="32"/>
                <w:sz w:val="18"/>
                <w:szCs w:val="18"/>
              </w:rPr>
            </w:pPr>
          </w:p>
        </w:tc>
        <w:tc>
          <w:tcPr>
            <w:tcW w:w="949" w:type="dxa"/>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达推荐标准占比</w:t>
            </w:r>
            <w:r>
              <w:rPr>
                <w:rFonts w:eastAsia="方正黑体_GBK" w:hint="eastAsia"/>
                <w:kern w:val="32"/>
                <w:sz w:val="18"/>
                <w:szCs w:val="18"/>
              </w:rPr>
              <w:t>%</w:t>
            </w:r>
          </w:p>
        </w:tc>
        <w:tc>
          <w:tcPr>
            <w:tcW w:w="952" w:type="dxa"/>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达基本标准占比</w:t>
            </w:r>
            <w:r>
              <w:rPr>
                <w:rFonts w:eastAsia="方正黑体_GBK" w:hint="eastAsia"/>
                <w:kern w:val="32"/>
                <w:sz w:val="18"/>
                <w:szCs w:val="18"/>
              </w:rPr>
              <w:t>%</w:t>
            </w:r>
          </w:p>
        </w:tc>
        <w:tc>
          <w:tcPr>
            <w:tcW w:w="791" w:type="dxa"/>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拥有</w:t>
            </w:r>
            <w:r>
              <w:rPr>
                <w:rFonts w:eastAsia="方正黑体_GBK" w:hint="eastAsia"/>
                <w:kern w:val="32"/>
                <w:sz w:val="18"/>
                <w:szCs w:val="18"/>
              </w:rPr>
              <w:t>1</w:t>
            </w:r>
            <w:r>
              <w:rPr>
                <w:rFonts w:eastAsia="方正黑体_GBK" w:hint="eastAsia"/>
                <w:kern w:val="32"/>
                <w:sz w:val="18"/>
                <w:szCs w:val="18"/>
              </w:rPr>
              <w:t>个占比</w:t>
            </w:r>
            <w:r>
              <w:rPr>
                <w:rFonts w:eastAsia="方正黑体_GBK" w:hint="eastAsia"/>
                <w:kern w:val="32"/>
                <w:sz w:val="18"/>
                <w:szCs w:val="18"/>
              </w:rPr>
              <w:t>%</w:t>
            </w:r>
          </w:p>
        </w:tc>
        <w:tc>
          <w:tcPr>
            <w:tcW w:w="793" w:type="dxa"/>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2</w:t>
            </w:r>
            <w:r>
              <w:rPr>
                <w:rFonts w:eastAsia="方正黑体_GBK" w:hint="eastAsia"/>
                <w:kern w:val="32"/>
                <w:sz w:val="18"/>
                <w:szCs w:val="18"/>
              </w:rPr>
              <w:t>个及以上占比</w:t>
            </w:r>
            <w:r>
              <w:rPr>
                <w:rFonts w:eastAsia="方正黑体_GBK" w:hint="eastAsia"/>
                <w:kern w:val="32"/>
                <w:sz w:val="18"/>
                <w:szCs w:val="18"/>
              </w:rPr>
              <w:t>%</w:t>
            </w:r>
          </w:p>
        </w:tc>
        <w:tc>
          <w:tcPr>
            <w:tcW w:w="1584" w:type="dxa"/>
            <w:vMerge/>
            <w:vAlign w:val="center"/>
          </w:tcPr>
          <w:p w:rsidR="007A1596" w:rsidRDefault="007A1596">
            <w:pPr>
              <w:spacing w:line="280" w:lineRule="exact"/>
              <w:ind w:firstLine="0"/>
              <w:jc w:val="center"/>
              <w:rPr>
                <w:rFonts w:eastAsia="方正黑体_GBK"/>
                <w:kern w:val="32"/>
                <w:sz w:val="18"/>
                <w:szCs w:val="18"/>
              </w:rPr>
            </w:pPr>
          </w:p>
        </w:tc>
      </w:tr>
      <w:tr w:rsidR="007A1596">
        <w:trPr>
          <w:trHeight w:val="1056"/>
        </w:trPr>
        <w:tc>
          <w:tcPr>
            <w:tcW w:w="911" w:type="dxa"/>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2025</w:t>
            </w:r>
            <w:r>
              <w:rPr>
                <w:rFonts w:eastAsia="方正黑体_GBK" w:hint="eastAsia"/>
                <w:kern w:val="32"/>
                <w:sz w:val="18"/>
                <w:szCs w:val="18"/>
              </w:rPr>
              <w:t>年</w:t>
            </w:r>
          </w:p>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目标值</w:t>
            </w:r>
          </w:p>
        </w:tc>
        <w:tc>
          <w:tcPr>
            <w:tcW w:w="1111" w:type="dxa"/>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50</w:t>
            </w:r>
          </w:p>
        </w:tc>
        <w:tc>
          <w:tcPr>
            <w:tcW w:w="1013" w:type="dxa"/>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100</w:t>
            </w:r>
          </w:p>
        </w:tc>
        <w:tc>
          <w:tcPr>
            <w:tcW w:w="727" w:type="dxa"/>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20</w:t>
            </w:r>
          </w:p>
        </w:tc>
        <w:tc>
          <w:tcPr>
            <w:tcW w:w="949" w:type="dxa"/>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20</w:t>
            </w:r>
          </w:p>
        </w:tc>
        <w:tc>
          <w:tcPr>
            <w:tcW w:w="952" w:type="dxa"/>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80</w:t>
            </w:r>
          </w:p>
        </w:tc>
        <w:tc>
          <w:tcPr>
            <w:tcW w:w="791" w:type="dxa"/>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80</w:t>
            </w:r>
          </w:p>
        </w:tc>
        <w:tc>
          <w:tcPr>
            <w:tcW w:w="793" w:type="dxa"/>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50</w:t>
            </w:r>
          </w:p>
        </w:tc>
        <w:tc>
          <w:tcPr>
            <w:tcW w:w="1584" w:type="dxa"/>
            <w:vAlign w:val="center"/>
          </w:tcPr>
          <w:p w:rsidR="007A1596" w:rsidRDefault="00DC4461">
            <w:pPr>
              <w:spacing w:line="280" w:lineRule="exact"/>
              <w:ind w:firstLine="0"/>
              <w:jc w:val="center"/>
              <w:rPr>
                <w:rFonts w:eastAsia="方正黑体_GBK"/>
                <w:kern w:val="32"/>
                <w:sz w:val="18"/>
                <w:szCs w:val="18"/>
              </w:rPr>
            </w:pPr>
            <w:r>
              <w:rPr>
                <w:rFonts w:eastAsia="方正黑体_GBK" w:hint="eastAsia"/>
                <w:kern w:val="32"/>
                <w:sz w:val="18"/>
                <w:szCs w:val="18"/>
              </w:rPr>
              <w:t>100</w:t>
            </w:r>
          </w:p>
        </w:tc>
      </w:tr>
    </w:tbl>
    <w:p w:rsidR="007A1596" w:rsidRDefault="007A1596">
      <w:pPr>
        <w:spacing w:line="600" w:lineRule="exact"/>
        <w:rPr>
          <w:rFonts w:eastAsia="方正黑体_GBK"/>
          <w:kern w:val="32"/>
          <w:szCs w:val="32"/>
        </w:rPr>
      </w:pPr>
    </w:p>
    <w:p w:rsidR="007A1596" w:rsidRDefault="00DC4461">
      <w:pPr>
        <w:spacing w:line="600" w:lineRule="exact"/>
        <w:ind w:firstLine="0"/>
        <w:jc w:val="center"/>
        <w:rPr>
          <w:rFonts w:ascii="黑体" w:eastAsia="黑体" w:hAnsi="黑体"/>
          <w:szCs w:val="32"/>
        </w:rPr>
      </w:pPr>
      <w:r>
        <w:rPr>
          <w:rFonts w:ascii="黑体" w:eastAsia="黑体" w:hAnsi="黑体" w:hint="eastAsia"/>
          <w:szCs w:val="32"/>
        </w:rPr>
        <w:t>乡镇卫生院（社区卫生服务中心）人员配备目标值</w:t>
      </w:r>
    </w:p>
    <w:tbl>
      <w:tblPr>
        <w:tblStyle w:val="a9"/>
        <w:tblW w:w="0" w:type="auto"/>
        <w:tblInd w:w="250" w:type="dxa"/>
        <w:tblLook w:val="04A0"/>
      </w:tblPr>
      <w:tblGrid>
        <w:gridCol w:w="992"/>
        <w:gridCol w:w="1418"/>
        <w:gridCol w:w="1559"/>
        <w:gridCol w:w="1228"/>
        <w:gridCol w:w="1229"/>
        <w:gridCol w:w="1229"/>
        <w:gridCol w:w="1155"/>
      </w:tblGrid>
      <w:tr w:rsidR="007A1596">
        <w:trPr>
          <w:trHeight w:val="670"/>
        </w:trPr>
        <w:tc>
          <w:tcPr>
            <w:tcW w:w="992" w:type="dxa"/>
            <w:vMerge w:val="restart"/>
            <w:vAlign w:val="center"/>
          </w:tcPr>
          <w:p w:rsidR="007A1596" w:rsidRDefault="00DC4461">
            <w:pPr>
              <w:spacing w:line="300" w:lineRule="exact"/>
              <w:ind w:firstLine="0"/>
              <w:jc w:val="center"/>
              <w:rPr>
                <w:rFonts w:eastAsia="方正黑体_GBK"/>
                <w:kern w:val="32"/>
                <w:sz w:val="21"/>
                <w:szCs w:val="21"/>
              </w:rPr>
            </w:pPr>
            <w:r>
              <w:rPr>
                <w:rFonts w:eastAsia="方正黑体_GBK" w:hint="eastAsia"/>
                <w:kern w:val="32"/>
                <w:sz w:val="21"/>
                <w:szCs w:val="21"/>
              </w:rPr>
              <w:t>类　别</w:t>
            </w:r>
          </w:p>
        </w:tc>
        <w:tc>
          <w:tcPr>
            <w:tcW w:w="1418" w:type="dxa"/>
            <w:vMerge w:val="restart"/>
            <w:vAlign w:val="center"/>
          </w:tcPr>
          <w:p w:rsidR="007A1596" w:rsidRDefault="00DC4461">
            <w:pPr>
              <w:spacing w:line="300" w:lineRule="exact"/>
              <w:ind w:firstLine="0"/>
              <w:jc w:val="center"/>
              <w:rPr>
                <w:rFonts w:eastAsia="方正黑体_GBK"/>
                <w:kern w:val="32"/>
                <w:sz w:val="21"/>
                <w:szCs w:val="21"/>
              </w:rPr>
            </w:pPr>
            <w:r>
              <w:rPr>
                <w:rFonts w:eastAsia="方正黑体_GBK" w:hint="eastAsia"/>
                <w:kern w:val="32"/>
                <w:sz w:val="21"/>
                <w:szCs w:val="21"/>
              </w:rPr>
              <w:t>城乡每万服务人口基层卫生人员配备数（名）</w:t>
            </w:r>
          </w:p>
        </w:tc>
        <w:tc>
          <w:tcPr>
            <w:tcW w:w="1559" w:type="dxa"/>
            <w:vMerge w:val="restart"/>
            <w:vAlign w:val="center"/>
          </w:tcPr>
          <w:p w:rsidR="007A1596" w:rsidRDefault="00DC4461">
            <w:pPr>
              <w:spacing w:line="300" w:lineRule="exact"/>
              <w:ind w:firstLine="0"/>
              <w:jc w:val="center"/>
              <w:rPr>
                <w:rFonts w:eastAsia="方正黑体_GBK"/>
                <w:kern w:val="32"/>
                <w:sz w:val="21"/>
                <w:szCs w:val="21"/>
              </w:rPr>
            </w:pPr>
            <w:r>
              <w:rPr>
                <w:rFonts w:eastAsia="方正黑体_GBK" w:hint="eastAsia"/>
                <w:kern w:val="32"/>
                <w:sz w:val="21"/>
                <w:szCs w:val="21"/>
              </w:rPr>
              <w:t>乡镇卫生院每万常住人口基层卫生人员编制数（名）</w:t>
            </w:r>
          </w:p>
        </w:tc>
        <w:tc>
          <w:tcPr>
            <w:tcW w:w="3686" w:type="dxa"/>
            <w:gridSpan w:val="3"/>
            <w:vAlign w:val="center"/>
          </w:tcPr>
          <w:p w:rsidR="007A1596" w:rsidRDefault="00DC4461">
            <w:pPr>
              <w:spacing w:line="300" w:lineRule="exact"/>
              <w:ind w:firstLine="0"/>
              <w:jc w:val="center"/>
              <w:rPr>
                <w:rFonts w:eastAsia="方正黑体_GBK"/>
                <w:kern w:val="32"/>
                <w:sz w:val="21"/>
                <w:szCs w:val="21"/>
              </w:rPr>
            </w:pPr>
            <w:r>
              <w:rPr>
                <w:rFonts w:eastAsia="方正黑体_GBK" w:hint="eastAsia"/>
                <w:kern w:val="32"/>
                <w:sz w:val="21"/>
                <w:szCs w:val="21"/>
              </w:rPr>
              <w:t>社区卫生服务中心每万服务人口</w:t>
            </w:r>
          </w:p>
          <w:p w:rsidR="007A1596" w:rsidRDefault="00DC4461">
            <w:pPr>
              <w:spacing w:line="300" w:lineRule="exact"/>
              <w:ind w:firstLine="0"/>
              <w:jc w:val="center"/>
              <w:rPr>
                <w:rFonts w:eastAsia="方正黑体_GBK"/>
                <w:kern w:val="32"/>
                <w:sz w:val="21"/>
                <w:szCs w:val="21"/>
              </w:rPr>
            </w:pPr>
            <w:r>
              <w:rPr>
                <w:rFonts w:eastAsia="方正黑体_GBK" w:hint="eastAsia"/>
                <w:kern w:val="32"/>
                <w:sz w:val="21"/>
                <w:szCs w:val="21"/>
              </w:rPr>
              <w:t>医护人员配备（名）</w:t>
            </w:r>
          </w:p>
        </w:tc>
        <w:tc>
          <w:tcPr>
            <w:tcW w:w="1155" w:type="dxa"/>
            <w:vMerge w:val="restart"/>
            <w:vAlign w:val="center"/>
          </w:tcPr>
          <w:p w:rsidR="007A1596" w:rsidRDefault="00DC4461">
            <w:pPr>
              <w:spacing w:line="300" w:lineRule="exact"/>
              <w:ind w:firstLine="0"/>
              <w:jc w:val="center"/>
              <w:rPr>
                <w:rFonts w:eastAsia="方正黑体_GBK"/>
                <w:kern w:val="32"/>
                <w:sz w:val="21"/>
                <w:szCs w:val="21"/>
              </w:rPr>
            </w:pPr>
            <w:r>
              <w:rPr>
                <w:rFonts w:eastAsia="方正黑体_GBK" w:hint="eastAsia"/>
                <w:kern w:val="32"/>
                <w:sz w:val="21"/>
                <w:szCs w:val="21"/>
              </w:rPr>
              <w:t>具有精神卫生执业资质的医师数（名）</w:t>
            </w:r>
          </w:p>
        </w:tc>
      </w:tr>
      <w:tr w:rsidR="007A1596">
        <w:trPr>
          <w:trHeight w:val="670"/>
        </w:trPr>
        <w:tc>
          <w:tcPr>
            <w:tcW w:w="992" w:type="dxa"/>
            <w:vMerge/>
            <w:vAlign w:val="center"/>
          </w:tcPr>
          <w:p w:rsidR="007A1596" w:rsidRDefault="007A1596">
            <w:pPr>
              <w:spacing w:line="300" w:lineRule="exact"/>
              <w:ind w:firstLine="0"/>
              <w:jc w:val="center"/>
              <w:rPr>
                <w:rFonts w:eastAsia="方正黑体_GBK"/>
                <w:kern w:val="32"/>
                <w:sz w:val="21"/>
                <w:szCs w:val="21"/>
              </w:rPr>
            </w:pPr>
          </w:p>
        </w:tc>
        <w:tc>
          <w:tcPr>
            <w:tcW w:w="1418" w:type="dxa"/>
            <w:vMerge/>
            <w:vAlign w:val="center"/>
          </w:tcPr>
          <w:p w:rsidR="007A1596" w:rsidRDefault="007A1596">
            <w:pPr>
              <w:spacing w:line="300" w:lineRule="exact"/>
              <w:ind w:firstLine="0"/>
              <w:jc w:val="center"/>
              <w:rPr>
                <w:rFonts w:eastAsia="方正黑体_GBK"/>
                <w:kern w:val="32"/>
                <w:sz w:val="21"/>
                <w:szCs w:val="21"/>
              </w:rPr>
            </w:pPr>
          </w:p>
        </w:tc>
        <w:tc>
          <w:tcPr>
            <w:tcW w:w="1559" w:type="dxa"/>
            <w:vMerge/>
            <w:vAlign w:val="center"/>
          </w:tcPr>
          <w:p w:rsidR="007A1596" w:rsidRDefault="007A1596">
            <w:pPr>
              <w:spacing w:line="300" w:lineRule="exact"/>
              <w:ind w:firstLine="0"/>
              <w:jc w:val="center"/>
              <w:rPr>
                <w:rFonts w:eastAsia="方正黑体_GBK"/>
                <w:kern w:val="32"/>
                <w:sz w:val="21"/>
                <w:szCs w:val="21"/>
              </w:rPr>
            </w:pPr>
          </w:p>
        </w:tc>
        <w:tc>
          <w:tcPr>
            <w:tcW w:w="1228" w:type="dxa"/>
            <w:vAlign w:val="center"/>
          </w:tcPr>
          <w:p w:rsidR="007A1596" w:rsidRDefault="00DC4461">
            <w:pPr>
              <w:spacing w:line="300" w:lineRule="exact"/>
              <w:ind w:firstLine="0"/>
              <w:jc w:val="center"/>
              <w:rPr>
                <w:rFonts w:eastAsia="方正黑体_GBK"/>
                <w:kern w:val="32"/>
                <w:sz w:val="21"/>
                <w:szCs w:val="21"/>
              </w:rPr>
            </w:pPr>
            <w:r>
              <w:rPr>
                <w:rFonts w:eastAsia="方正黑体_GBK" w:hint="eastAsia"/>
                <w:kern w:val="32"/>
                <w:sz w:val="21"/>
                <w:szCs w:val="21"/>
              </w:rPr>
              <w:t>全科医师</w:t>
            </w:r>
          </w:p>
        </w:tc>
        <w:tc>
          <w:tcPr>
            <w:tcW w:w="1229" w:type="dxa"/>
            <w:vAlign w:val="center"/>
          </w:tcPr>
          <w:p w:rsidR="007A1596" w:rsidRDefault="00DC4461">
            <w:pPr>
              <w:spacing w:line="300" w:lineRule="exact"/>
              <w:ind w:firstLine="0"/>
              <w:jc w:val="center"/>
              <w:rPr>
                <w:rFonts w:eastAsia="方正黑体_GBK"/>
                <w:kern w:val="32"/>
                <w:sz w:val="21"/>
                <w:szCs w:val="21"/>
              </w:rPr>
            </w:pPr>
            <w:r>
              <w:rPr>
                <w:rFonts w:eastAsia="方正黑体_GBK" w:hint="eastAsia"/>
                <w:kern w:val="32"/>
                <w:sz w:val="21"/>
                <w:szCs w:val="21"/>
              </w:rPr>
              <w:t>公共卫生医师</w:t>
            </w:r>
          </w:p>
        </w:tc>
        <w:tc>
          <w:tcPr>
            <w:tcW w:w="1229" w:type="dxa"/>
            <w:vAlign w:val="center"/>
          </w:tcPr>
          <w:p w:rsidR="007A1596" w:rsidRDefault="00DC4461">
            <w:pPr>
              <w:spacing w:line="300" w:lineRule="exact"/>
              <w:ind w:firstLine="0"/>
              <w:jc w:val="center"/>
              <w:rPr>
                <w:rFonts w:eastAsia="方正黑体_GBK"/>
                <w:kern w:val="32"/>
                <w:sz w:val="21"/>
                <w:szCs w:val="21"/>
              </w:rPr>
            </w:pPr>
            <w:r>
              <w:rPr>
                <w:rFonts w:eastAsia="方正黑体_GBK" w:hint="eastAsia"/>
                <w:kern w:val="32"/>
                <w:sz w:val="21"/>
                <w:szCs w:val="21"/>
              </w:rPr>
              <w:t>护士</w:t>
            </w:r>
          </w:p>
        </w:tc>
        <w:tc>
          <w:tcPr>
            <w:tcW w:w="1155" w:type="dxa"/>
            <w:vMerge/>
            <w:vAlign w:val="center"/>
          </w:tcPr>
          <w:p w:rsidR="007A1596" w:rsidRDefault="007A1596">
            <w:pPr>
              <w:spacing w:line="300" w:lineRule="exact"/>
              <w:ind w:firstLine="0"/>
              <w:jc w:val="center"/>
              <w:rPr>
                <w:sz w:val="21"/>
                <w:szCs w:val="21"/>
              </w:rPr>
            </w:pPr>
          </w:p>
        </w:tc>
      </w:tr>
      <w:tr w:rsidR="007A1596">
        <w:trPr>
          <w:trHeight w:val="722"/>
        </w:trPr>
        <w:tc>
          <w:tcPr>
            <w:tcW w:w="992" w:type="dxa"/>
            <w:vAlign w:val="center"/>
          </w:tcPr>
          <w:p w:rsidR="007A1596" w:rsidRDefault="00DC4461">
            <w:pPr>
              <w:spacing w:line="300" w:lineRule="exact"/>
              <w:ind w:firstLine="0"/>
              <w:jc w:val="center"/>
              <w:rPr>
                <w:rFonts w:eastAsia="方正黑体_GBK"/>
                <w:kern w:val="32"/>
                <w:sz w:val="21"/>
                <w:szCs w:val="21"/>
              </w:rPr>
            </w:pPr>
            <w:r>
              <w:rPr>
                <w:rFonts w:eastAsia="方正黑体_GBK" w:hint="eastAsia"/>
                <w:kern w:val="32"/>
                <w:sz w:val="21"/>
                <w:szCs w:val="21"/>
              </w:rPr>
              <w:t>2025</w:t>
            </w:r>
            <w:r>
              <w:rPr>
                <w:rFonts w:eastAsia="方正黑体_GBK" w:hint="eastAsia"/>
                <w:kern w:val="32"/>
                <w:sz w:val="21"/>
                <w:szCs w:val="21"/>
              </w:rPr>
              <w:t>年</w:t>
            </w:r>
          </w:p>
          <w:p w:rsidR="007A1596" w:rsidRDefault="00DC4461">
            <w:pPr>
              <w:spacing w:line="300" w:lineRule="exact"/>
              <w:ind w:firstLine="0"/>
              <w:jc w:val="center"/>
              <w:rPr>
                <w:rFonts w:eastAsia="方正黑体_GBK"/>
                <w:kern w:val="32"/>
                <w:sz w:val="21"/>
                <w:szCs w:val="21"/>
              </w:rPr>
            </w:pPr>
            <w:r>
              <w:rPr>
                <w:rFonts w:eastAsia="方正黑体_GBK" w:hint="eastAsia"/>
                <w:kern w:val="32"/>
                <w:sz w:val="21"/>
                <w:szCs w:val="21"/>
              </w:rPr>
              <w:t>目标值</w:t>
            </w:r>
          </w:p>
        </w:tc>
        <w:tc>
          <w:tcPr>
            <w:tcW w:w="1418" w:type="dxa"/>
            <w:vAlign w:val="center"/>
          </w:tcPr>
          <w:p w:rsidR="007A1596" w:rsidRDefault="00DC4461">
            <w:pPr>
              <w:spacing w:line="300" w:lineRule="exact"/>
              <w:ind w:firstLine="0"/>
              <w:jc w:val="center"/>
              <w:rPr>
                <w:rFonts w:eastAsia="方正黑体_GBK"/>
                <w:kern w:val="32"/>
                <w:sz w:val="21"/>
                <w:szCs w:val="21"/>
              </w:rPr>
            </w:pPr>
            <w:r>
              <w:rPr>
                <w:rFonts w:eastAsia="方正黑体_GBK" w:hint="eastAsia"/>
                <w:kern w:val="32"/>
                <w:sz w:val="21"/>
                <w:szCs w:val="21"/>
              </w:rPr>
              <w:t>35</w:t>
            </w:r>
          </w:p>
        </w:tc>
        <w:tc>
          <w:tcPr>
            <w:tcW w:w="1559" w:type="dxa"/>
            <w:vAlign w:val="center"/>
          </w:tcPr>
          <w:p w:rsidR="007A1596" w:rsidRDefault="00DC4461">
            <w:pPr>
              <w:spacing w:line="300" w:lineRule="exact"/>
              <w:ind w:firstLine="0"/>
              <w:jc w:val="center"/>
              <w:rPr>
                <w:rFonts w:eastAsia="方正黑体_GBK"/>
                <w:kern w:val="32"/>
                <w:sz w:val="21"/>
                <w:szCs w:val="21"/>
              </w:rPr>
            </w:pPr>
            <w:r>
              <w:rPr>
                <w:rFonts w:eastAsia="方正黑体_GBK" w:hint="eastAsia"/>
                <w:kern w:val="32"/>
                <w:sz w:val="21"/>
                <w:szCs w:val="21"/>
              </w:rPr>
              <w:t>11-15</w:t>
            </w:r>
          </w:p>
          <w:p w:rsidR="007A1596" w:rsidRDefault="00DC4461">
            <w:pPr>
              <w:spacing w:line="300" w:lineRule="exact"/>
              <w:ind w:firstLine="0"/>
              <w:jc w:val="center"/>
              <w:rPr>
                <w:rFonts w:eastAsia="方正黑体_GBK"/>
                <w:kern w:val="32"/>
                <w:sz w:val="21"/>
                <w:szCs w:val="21"/>
              </w:rPr>
            </w:pPr>
            <w:r>
              <w:rPr>
                <w:rFonts w:eastAsia="方正黑体_GBK" w:hint="eastAsia"/>
                <w:kern w:val="32"/>
                <w:sz w:val="21"/>
                <w:szCs w:val="21"/>
              </w:rPr>
              <w:t>最高不超</w:t>
            </w:r>
            <w:r>
              <w:rPr>
                <w:rFonts w:eastAsia="方正黑体_GBK" w:hint="eastAsia"/>
                <w:kern w:val="32"/>
                <w:sz w:val="21"/>
                <w:szCs w:val="21"/>
              </w:rPr>
              <w:t>18</w:t>
            </w:r>
          </w:p>
        </w:tc>
        <w:tc>
          <w:tcPr>
            <w:tcW w:w="1228" w:type="dxa"/>
            <w:vAlign w:val="center"/>
          </w:tcPr>
          <w:p w:rsidR="007A1596" w:rsidRDefault="00DC4461">
            <w:pPr>
              <w:spacing w:line="300" w:lineRule="exact"/>
              <w:ind w:firstLine="0"/>
              <w:jc w:val="center"/>
              <w:rPr>
                <w:sz w:val="21"/>
                <w:szCs w:val="21"/>
                <w:lang w:val="zh-CN"/>
              </w:rPr>
            </w:pPr>
            <w:r>
              <w:rPr>
                <w:rFonts w:eastAsia="方正黑体_GBK" w:hint="eastAsia"/>
                <w:kern w:val="32"/>
                <w:sz w:val="21"/>
                <w:szCs w:val="21"/>
              </w:rPr>
              <w:t>2-3</w:t>
            </w:r>
          </w:p>
        </w:tc>
        <w:tc>
          <w:tcPr>
            <w:tcW w:w="1229" w:type="dxa"/>
            <w:vAlign w:val="center"/>
          </w:tcPr>
          <w:p w:rsidR="007A1596" w:rsidRDefault="00DC4461">
            <w:pPr>
              <w:spacing w:line="300" w:lineRule="exact"/>
              <w:ind w:firstLine="0"/>
              <w:jc w:val="center"/>
              <w:rPr>
                <w:sz w:val="21"/>
                <w:szCs w:val="21"/>
                <w:lang w:val="zh-CN"/>
              </w:rPr>
            </w:pPr>
            <w:r>
              <w:rPr>
                <w:rFonts w:eastAsia="方正黑体_GBK" w:hint="eastAsia"/>
                <w:kern w:val="32"/>
                <w:sz w:val="21"/>
                <w:szCs w:val="21"/>
              </w:rPr>
              <w:t>1</w:t>
            </w:r>
          </w:p>
        </w:tc>
        <w:tc>
          <w:tcPr>
            <w:tcW w:w="1229" w:type="dxa"/>
            <w:vAlign w:val="center"/>
          </w:tcPr>
          <w:p w:rsidR="007A1596" w:rsidRDefault="00DC4461">
            <w:pPr>
              <w:spacing w:line="300" w:lineRule="exact"/>
              <w:ind w:firstLine="0"/>
              <w:jc w:val="center"/>
              <w:rPr>
                <w:sz w:val="21"/>
                <w:szCs w:val="21"/>
                <w:lang w:val="zh-CN"/>
              </w:rPr>
            </w:pPr>
            <w:r>
              <w:rPr>
                <w:rFonts w:eastAsia="方正黑体_GBK" w:hint="eastAsia"/>
                <w:kern w:val="32"/>
                <w:sz w:val="21"/>
                <w:szCs w:val="21"/>
              </w:rPr>
              <w:t>2-3</w:t>
            </w:r>
          </w:p>
        </w:tc>
        <w:tc>
          <w:tcPr>
            <w:tcW w:w="1155" w:type="dxa"/>
            <w:vAlign w:val="center"/>
          </w:tcPr>
          <w:p w:rsidR="007A1596" w:rsidRDefault="00DC4461">
            <w:pPr>
              <w:spacing w:line="300" w:lineRule="exact"/>
              <w:ind w:firstLine="0"/>
              <w:jc w:val="center"/>
              <w:rPr>
                <w:rFonts w:eastAsia="方正黑体_GBK"/>
                <w:kern w:val="32"/>
                <w:sz w:val="21"/>
                <w:szCs w:val="21"/>
              </w:rPr>
            </w:pPr>
            <w:r>
              <w:rPr>
                <w:rFonts w:eastAsia="方正黑体_GBK" w:hint="eastAsia"/>
                <w:kern w:val="32"/>
                <w:sz w:val="21"/>
                <w:szCs w:val="21"/>
              </w:rPr>
              <w:t>2</w:t>
            </w:r>
          </w:p>
        </w:tc>
      </w:tr>
    </w:tbl>
    <w:p w:rsidR="007A1596" w:rsidRDefault="007A1596">
      <w:pPr>
        <w:spacing w:line="600" w:lineRule="exact"/>
        <w:rPr>
          <w:rFonts w:eastAsia="方正黑体_GBK"/>
          <w:kern w:val="32"/>
          <w:szCs w:val="32"/>
        </w:rPr>
      </w:pPr>
    </w:p>
    <w:p w:rsidR="007A1596" w:rsidRDefault="00DC4461">
      <w:pPr>
        <w:spacing w:line="600" w:lineRule="exact"/>
        <w:rPr>
          <w:rFonts w:eastAsia="方正黑体_GBK"/>
          <w:kern w:val="32"/>
          <w:szCs w:val="32"/>
        </w:rPr>
      </w:pPr>
      <w:r>
        <w:rPr>
          <w:rFonts w:eastAsia="方正黑体_GBK" w:hint="eastAsia"/>
          <w:kern w:val="32"/>
          <w:szCs w:val="32"/>
        </w:rPr>
        <w:t>三、主要任务</w:t>
      </w:r>
    </w:p>
    <w:p w:rsidR="007A1596" w:rsidRDefault="00DC4461">
      <w:pPr>
        <w:pStyle w:val="a3"/>
        <w:spacing w:line="600" w:lineRule="exact"/>
        <w:ind w:firstLineChars="0" w:firstLine="640"/>
        <w:rPr>
          <w:rFonts w:eastAsia="方正楷体_GBK"/>
          <w:kern w:val="32"/>
          <w:szCs w:val="32"/>
        </w:rPr>
      </w:pPr>
      <w:r>
        <w:rPr>
          <w:rFonts w:eastAsia="方正楷体_GBK" w:hint="eastAsia"/>
          <w:kern w:val="32"/>
          <w:szCs w:val="32"/>
        </w:rPr>
        <w:t>（一）完善服务体系</w:t>
      </w:r>
    </w:p>
    <w:p w:rsidR="007A1596" w:rsidRDefault="00DC4461">
      <w:pPr>
        <w:pStyle w:val="a3"/>
        <w:spacing w:line="600" w:lineRule="exact"/>
        <w:ind w:firstLine="643"/>
        <w:rPr>
          <w:szCs w:val="32"/>
          <w:lang w:val="zh-CN"/>
        </w:rPr>
      </w:pPr>
      <w:r>
        <w:rPr>
          <w:rFonts w:hint="eastAsia"/>
          <w:b/>
          <w:bCs/>
          <w:szCs w:val="32"/>
        </w:rPr>
        <w:t xml:space="preserve">1. </w:t>
      </w:r>
      <w:r>
        <w:rPr>
          <w:rFonts w:hint="eastAsia"/>
          <w:b/>
          <w:bCs/>
          <w:szCs w:val="32"/>
          <w:lang w:val="zh-CN"/>
        </w:rPr>
        <w:t>优化卫生资源配置。</w:t>
      </w:r>
      <w:r>
        <w:rPr>
          <w:rFonts w:hint="eastAsia"/>
          <w:szCs w:val="32"/>
          <w:lang w:val="zh-CN"/>
        </w:rPr>
        <w:t>按照“</w:t>
      </w:r>
      <w:r>
        <w:rPr>
          <w:rFonts w:hint="eastAsia"/>
          <w:szCs w:val="32"/>
          <w:lang w:val="zh-CN"/>
        </w:rPr>
        <w:t>15</w:t>
      </w:r>
      <w:r>
        <w:rPr>
          <w:rFonts w:hint="eastAsia"/>
          <w:szCs w:val="32"/>
          <w:lang w:val="zh-CN"/>
        </w:rPr>
        <w:t>分钟健康服务圈”要求，合理确定各级各类医疗卫生机构的数量、规模、布局，方便居民就近获取医疗卫生服务。</w:t>
      </w:r>
      <w:r>
        <w:rPr>
          <w:rFonts w:hint="eastAsia"/>
          <w:szCs w:val="32"/>
        </w:rPr>
        <w:t>突出公益性，到</w:t>
      </w:r>
      <w:r>
        <w:rPr>
          <w:rFonts w:hint="eastAsia"/>
          <w:szCs w:val="32"/>
        </w:rPr>
        <w:t>2023</w:t>
      </w:r>
      <w:r>
        <w:rPr>
          <w:rFonts w:hint="eastAsia"/>
          <w:szCs w:val="32"/>
        </w:rPr>
        <w:t>年底，确保每个</w:t>
      </w:r>
      <w:r>
        <w:rPr>
          <w:rFonts w:hint="eastAsia"/>
          <w:szCs w:val="32"/>
          <w:lang w:val="zh-CN"/>
        </w:rPr>
        <w:t>乡镇（街道）</w:t>
      </w:r>
      <w:r>
        <w:rPr>
          <w:rFonts w:hint="eastAsia"/>
          <w:szCs w:val="32"/>
        </w:rPr>
        <w:t>至少有</w:t>
      </w:r>
      <w:r>
        <w:rPr>
          <w:rFonts w:hint="eastAsia"/>
          <w:szCs w:val="32"/>
        </w:rPr>
        <w:t>1</w:t>
      </w:r>
      <w:r>
        <w:rPr>
          <w:rFonts w:hint="eastAsia"/>
          <w:szCs w:val="32"/>
        </w:rPr>
        <w:t>家政府办乡镇卫生院（社区卫生服务中心）。要</w:t>
      </w:r>
      <w:r>
        <w:rPr>
          <w:rFonts w:hint="eastAsia"/>
          <w:szCs w:val="32"/>
          <w:lang w:val="zh-CN"/>
        </w:rPr>
        <w:t>适应人口集中转移和乡镇行政区划调整新形势，</w:t>
      </w:r>
      <w:r>
        <w:rPr>
          <w:rFonts w:hint="eastAsia"/>
          <w:szCs w:val="32"/>
        </w:rPr>
        <w:t>进一步</w:t>
      </w:r>
      <w:r>
        <w:rPr>
          <w:rFonts w:hint="eastAsia"/>
          <w:szCs w:val="32"/>
          <w:lang w:val="zh-CN"/>
        </w:rPr>
        <w:t>优化城乡、区域医疗卫生资源配置，</w:t>
      </w:r>
      <w:r>
        <w:rPr>
          <w:rFonts w:hint="eastAsia"/>
          <w:szCs w:val="32"/>
        </w:rPr>
        <w:t>在基层医疗卫生</w:t>
      </w:r>
      <w:r>
        <w:rPr>
          <w:rFonts w:hint="eastAsia"/>
          <w:szCs w:val="32"/>
          <w:lang w:val="zh-CN"/>
        </w:rPr>
        <w:t>机构行政区域全覆盖</w:t>
      </w:r>
      <w:r>
        <w:rPr>
          <w:rFonts w:hint="eastAsia"/>
          <w:szCs w:val="32"/>
        </w:rPr>
        <w:t>基础上，更加</w:t>
      </w:r>
      <w:r>
        <w:rPr>
          <w:rFonts w:hint="eastAsia"/>
          <w:szCs w:val="32"/>
          <w:lang w:val="zh-CN"/>
        </w:rPr>
        <w:t>注重基本医疗卫生服务人群全覆盖。</w:t>
      </w:r>
    </w:p>
    <w:p w:rsidR="007A1596" w:rsidRDefault="00DC4461">
      <w:pPr>
        <w:pStyle w:val="a3"/>
        <w:spacing w:line="600" w:lineRule="exact"/>
        <w:ind w:firstLine="643"/>
        <w:rPr>
          <w:szCs w:val="32"/>
        </w:rPr>
      </w:pPr>
      <w:r>
        <w:rPr>
          <w:rFonts w:hint="eastAsia"/>
          <w:b/>
          <w:bCs/>
          <w:szCs w:val="32"/>
        </w:rPr>
        <w:t>2</w:t>
      </w:r>
      <w:r w:rsidRPr="00985107">
        <w:rPr>
          <w:rFonts w:hint="eastAsia"/>
          <w:b/>
          <w:bCs/>
          <w:szCs w:val="32"/>
        </w:rPr>
        <w:t xml:space="preserve">. </w:t>
      </w:r>
      <w:r>
        <w:rPr>
          <w:rFonts w:hint="eastAsia"/>
          <w:b/>
          <w:bCs/>
          <w:szCs w:val="32"/>
          <w:lang w:val="zh-CN"/>
        </w:rPr>
        <w:t>加强基础设施建设。</w:t>
      </w:r>
      <w:r>
        <w:rPr>
          <w:rFonts w:hint="eastAsia"/>
          <w:szCs w:val="32"/>
        </w:rPr>
        <w:t>对照国家卫生健康委《乡镇卫生院服务能力标准（</w:t>
      </w:r>
      <w:r>
        <w:rPr>
          <w:rFonts w:hint="eastAsia"/>
          <w:szCs w:val="32"/>
        </w:rPr>
        <w:t>2022</w:t>
      </w:r>
      <w:r>
        <w:rPr>
          <w:rFonts w:hint="eastAsia"/>
          <w:szCs w:val="32"/>
        </w:rPr>
        <w:t>版）》、《社区卫生服务中心服务能力标准（</w:t>
      </w:r>
      <w:r>
        <w:rPr>
          <w:rFonts w:hint="eastAsia"/>
          <w:szCs w:val="32"/>
        </w:rPr>
        <w:t>2022</w:t>
      </w:r>
      <w:r>
        <w:rPr>
          <w:rFonts w:hint="eastAsia"/>
          <w:szCs w:val="32"/>
        </w:rPr>
        <w:t>版）》，以及江苏省《村卫生室服务能力建设标准（</w:t>
      </w:r>
      <w:r>
        <w:rPr>
          <w:rFonts w:hint="eastAsia"/>
          <w:szCs w:val="32"/>
        </w:rPr>
        <w:t>2021</w:t>
      </w:r>
      <w:r>
        <w:rPr>
          <w:rFonts w:hint="eastAsia"/>
          <w:szCs w:val="32"/>
        </w:rPr>
        <w:t>版）》建设要求，完善基层医疗卫生机构基础设施建设，合理布局业务用房，满足业务需求，优化就诊环境，到</w:t>
      </w:r>
      <w:r>
        <w:rPr>
          <w:rFonts w:hint="eastAsia"/>
          <w:szCs w:val="32"/>
        </w:rPr>
        <w:t>2025</w:t>
      </w:r>
      <w:r>
        <w:rPr>
          <w:rFonts w:hint="eastAsia"/>
          <w:szCs w:val="32"/>
        </w:rPr>
        <w:t>年相关指标普遍达到相应规模能力标准最高档。加快信息化建设，充分利用</w:t>
      </w:r>
      <w:r>
        <w:rPr>
          <w:rFonts w:hint="eastAsia"/>
          <w:szCs w:val="32"/>
        </w:rPr>
        <w:lastRenderedPageBreak/>
        <w:t>现代信息技术整合各类信息数据资源，优化服务流程，提升服务质量和管理效率，到</w:t>
      </w:r>
      <w:r>
        <w:rPr>
          <w:rFonts w:hint="eastAsia"/>
          <w:szCs w:val="32"/>
        </w:rPr>
        <w:t>2025</w:t>
      </w:r>
      <w:r>
        <w:rPr>
          <w:rFonts w:hint="eastAsia"/>
          <w:szCs w:val="32"/>
        </w:rPr>
        <w:t>年普遍能提供分时段预约诊疗、智能导医分诊、候诊提醒、检验检查结果查询、诊间结算、移动支付、远程会诊等线上服务。</w:t>
      </w:r>
    </w:p>
    <w:p w:rsidR="007A1596" w:rsidRDefault="00DC4461">
      <w:pPr>
        <w:spacing w:line="600" w:lineRule="exact"/>
        <w:ind w:firstLineChars="200" w:firstLine="643"/>
        <w:rPr>
          <w:szCs w:val="32"/>
        </w:rPr>
      </w:pPr>
      <w:r>
        <w:rPr>
          <w:rFonts w:hint="eastAsia"/>
          <w:b/>
          <w:bCs/>
          <w:szCs w:val="32"/>
        </w:rPr>
        <w:t xml:space="preserve">3. </w:t>
      </w:r>
      <w:r>
        <w:rPr>
          <w:rFonts w:hint="eastAsia"/>
          <w:b/>
          <w:bCs/>
          <w:szCs w:val="32"/>
          <w:lang w:val="zh-CN"/>
        </w:rPr>
        <w:t>配齐医疗设施设备。</w:t>
      </w:r>
      <w:r>
        <w:rPr>
          <w:rFonts w:hint="eastAsia"/>
          <w:szCs w:val="32"/>
        </w:rPr>
        <w:t>对照国家、省基层医疗卫生机构设备配置标准，配齐配足医疗设施设备及相关辅助设备、办公设备</w:t>
      </w:r>
      <w:r>
        <w:rPr>
          <w:rFonts w:hint="eastAsia"/>
          <w:szCs w:val="32"/>
          <w:lang w:val="zh-CN"/>
        </w:rPr>
        <w:t>，</w:t>
      </w:r>
      <w:r>
        <w:rPr>
          <w:rFonts w:hint="eastAsia"/>
          <w:szCs w:val="32"/>
        </w:rPr>
        <w:t>切实满足基本医疗服务和基本公共卫生服务需求。各地要组织开展基层医疗卫生机构设施设备更新换代工作，经评估对无法正常使用、存在安全隐患、定期检查不合格、超年限使用的设施设备要及时维护或更新，各基层医疗卫生机构医疗设施设备，到</w:t>
      </w:r>
      <w:r>
        <w:rPr>
          <w:rFonts w:hint="eastAsia"/>
          <w:szCs w:val="32"/>
        </w:rPr>
        <w:t>2023</w:t>
      </w:r>
      <w:r>
        <w:rPr>
          <w:rFonts w:hint="eastAsia"/>
          <w:szCs w:val="32"/>
        </w:rPr>
        <w:t>年底配备率不低于</w:t>
      </w:r>
      <w:r>
        <w:rPr>
          <w:rFonts w:hint="eastAsia"/>
          <w:szCs w:val="32"/>
        </w:rPr>
        <w:t>80%</w:t>
      </w:r>
      <w:r>
        <w:rPr>
          <w:rFonts w:hint="eastAsia"/>
          <w:szCs w:val="32"/>
        </w:rPr>
        <w:t>，完好率</w:t>
      </w:r>
      <w:r>
        <w:rPr>
          <w:rFonts w:hint="eastAsia"/>
          <w:szCs w:val="32"/>
        </w:rPr>
        <w:t>100%</w:t>
      </w:r>
      <w:r>
        <w:rPr>
          <w:rFonts w:hint="eastAsia"/>
          <w:szCs w:val="32"/>
        </w:rPr>
        <w:t>；到</w:t>
      </w:r>
      <w:r>
        <w:rPr>
          <w:rFonts w:hint="eastAsia"/>
          <w:szCs w:val="32"/>
        </w:rPr>
        <w:t>2024</w:t>
      </w:r>
      <w:r>
        <w:rPr>
          <w:rFonts w:hint="eastAsia"/>
          <w:szCs w:val="32"/>
        </w:rPr>
        <w:t>年底配备率达</w:t>
      </w:r>
      <w:r>
        <w:rPr>
          <w:rFonts w:hint="eastAsia"/>
          <w:szCs w:val="32"/>
        </w:rPr>
        <w:t>100%</w:t>
      </w:r>
      <w:r>
        <w:rPr>
          <w:rFonts w:hint="eastAsia"/>
          <w:szCs w:val="32"/>
        </w:rPr>
        <w:t>，完好率</w:t>
      </w:r>
      <w:r>
        <w:rPr>
          <w:rFonts w:hint="eastAsia"/>
          <w:szCs w:val="32"/>
        </w:rPr>
        <w:t>100%</w:t>
      </w:r>
      <w:r>
        <w:rPr>
          <w:rFonts w:hint="eastAsia"/>
          <w:szCs w:val="32"/>
        </w:rPr>
        <w:t>。</w:t>
      </w:r>
    </w:p>
    <w:p w:rsidR="007A1596" w:rsidRDefault="00DC4461">
      <w:pPr>
        <w:spacing w:line="600" w:lineRule="exact"/>
        <w:ind w:firstLineChars="200" w:firstLine="643"/>
        <w:rPr>
          <w:szCs w:val="32"/>
        </w:rPr>
      </w:pPr>
      <w:r>
        <w:rPr>
          <w:rFonts w:hint="eastAsia"/>
          <w:b/>
          <w:bCs/>
          <w:szCs w:val="32"/>
        </w:rPr>
        <w:t xml:space="preserve">4. </w:t>
      </w:r>
      <w:r>
        <w:rPr>
          <w:rFonts w:hint="eastAsia"/>
          <w:b/>
          <w:bCs/>
          <w:szCs w:val="32"/>
        </w:rPr>
        <w:t>强化卫生服务网底。</w:t>
      </w:r>
      <w:r>
        <w:rPr>
          <w:rFonts w:hint="eastAsia"/>
          <w:szCs w:val="32"/>
        </w:rPr>
        <w:t>强化乡镇卫生院（社区卫生服务中心）与村卫生室（社区卫生服务站）一体化管理，推进建设、人员、业务、药械、财务、绩效考核“六统一”。村卫生室（社区卫生服务站）医务人员实施“县招乡管村用”，由县级统一公开招聘、乡镇卫生院（社区卫生服务中心）统一管理，统一派驻到村卫生室（社区卫生服务站），承担相关工作职责。建立能上能下机制，对符合执业要求的村卫生室（社区卫生服务站）医务人员可在乡镇卫生院（社区卫生服务中心）执业。在村卫生室（社区卫生服务站）工作的医务人员可根据需要在全市区域内平行流</w:t>
      </w:r>
      <w:r>
        <w:rPr>
          <w:rFonts w:hint="eastAsia"/>
          <w:szCs w:val="32"/>
        </w:rPr>
        <w:lastRenderedPageBreak/>
        <w:t>动。</w:t>
      </w:r>
    </w:p>
    <w:p w:rsidR="007A1596" w:rsidRDefault="00DC4461">
      <w:pPr>
        <w:pStyle w:val="a3"/>
        <w:spacing w:line="600" w:lineRule="exact"/>
        <w:ind w:firstLineChars="0" w:firstLine="640"/>
        <w:rPr>
          <w:rFonts w:eastAsia="方正楷体_GBK"/>
          <w:kern w:val="32"/>
          <w:szCs w:val="32"/>
        </w:rPr>
      </w:pPr>
      <w:r>
        <w:rPr>
          <w:rFonts w:eastAsia="方正楷体_GBK" w:hint="eastAsia"/>
          <w:kern w:val="32"/>
          <w:szCs w:val="32"/>
        </w:rPr>
        <w:t>（二）加强队伍建设</w:t>
      </w:r>
    </w:p>
    <w:p w:rsidR="007A1596" w:rsidRDefault="00DC4461">
      <w:pPr>
        <w:pStyle w:val="a3"/>
        <w:spacing w:line="600" w:lineRule="exact"/>
        <w:ind w:firstLine="643"/>
        <w:rPr>
          <w:szCs w:val="32"/>
        </w:rPr>
      </w:pPr>
      <w:r>
        <w:rPr>
          <w:rFonts w:hint="eastAsia"/>
          <w:b/>
          <w:bCs/>
          <w:szCs w:val="32"/>
        </w:rPr>
        <w:t>5</w:t>
      </w:r>
      <w:r>
        <w:rPr>
          <w:rFonts w:hint="eastAsia"/>
          <w:b/>
          <w:bCs/>
          <w:szCs w:val="32"/>
          <w:lang w:val="zh-CN"/>
        </w:rPr>
        <w:t xml:space="preserve">. </w:t>
      </w:r>
      <w:r>
        <w:rPr>
          <w:rFonts w:hint="eastAsia"/>
          <w:b/>
          <w:bCs/>
          <w:szCs w:val="32"/>
        </w:rPr>
        <w:t>完善队伍建设长效机制</w:t>
      </w:r>
      <w:r>
        <w:rPr>
          <w:rFonts w:hint="eastAsia"/>
          <w:b/>
          <w:bCs/>
          <w:szCs w:val="32"/>
          <w:lang w:val="zh-CN"/>
        </w:rPr>
        <w:t>。</w:t>
      </w:r>
      <w:r>
        <w:rPr>
          <w:rFonts w:hint="eastAsia"/>
          <w:szCs w:val="32"/>
        </w:rPr>
        <w:t>各地要认真落实《南通市卫生人才强基工程实施方案（</w:t>
      </w:r>
      <w:r>
        <w:rPr>
          <w:rFonts w:hint="eastAsia"/>
          <w:szCs w:val="32"/>
        </w:rPr>
        <w:t>2019~2023</w:t>
      </w:r>
      <w:r>
        <w:rPr>
          <w:rFonts w:hint="eastAsia"/>
          <w:szCs w:val="32"/>
        </w:rPr>
        <w:t>年）》文件要求，结合实际，研究制定基层卫生人才引进、培养、使用和管理方面的优惠政策，建立完善长效管理机制，优化卫生人才培养环境，努力培养一支能够留得住、用得上的基层卫生队伍。</w:t>
      </w:r>
      <w:r>
        <w:rPr>
          <w:rFonts w:ascii="方正仿宋_GBK" w:hAnsi="方正仿宋_GBK" w:cs="方正仿宋_GBK" w:hint="eastAsia"/>
          <w:szCs w:val="32"/>
        </w:rPr>
        <w:t>建立公共卫生专业技术人员和医疗机构临床医生交叉培训制度，鼓励人员双向流动。</w:t>
      </w:r>
      <w:r>
        <w:rPr>
          <w:rFonts w:hint="eastAsia"/>
          <w:szCs w:val="32"/>
        </w:rPr>
        <w:t>到</w:t>
      </w:r>
      <w:r>
        <w:rPr>
          <w:rFonts w:hint="eastAsia"/>
          <w:szCs w:val="32"/>
        </w:rPr>
        <w:t>2023</w:t>
      </w:r>
      <w:r>
        <w:rPr>
          <w:rFonts w:hint="eastAsia"/>
          <w:szCs w:val="32"/>
        </w:rPr>
        <w:t>年底，各地均需制定符合本地基层医疗卫生发展需求的卫生人才队伍建设实施方案。</w:t>
      </w:r>
    </w:p>
    <w:p w:rsidR="007A1596" w:rsidRDefault="00DC4461">
      <w:pPr>
        <w:pStyle w:val="a3"/>
        <w:spacing w:line="600" w:lineRule="exact"/>
        <w:ind w:firstLine="643"/>
        <w:rPr>
          <w:kern w:val="32"/>
          <w:szCs w:val="32"/>
        </w:rPr>
      </w:pPr>
      <w:r>
        <w:rPr>
          <w:rFonts w:hint="eastAsia"/>
          <w:b/>
          <w:bCs/>
          <w:szCs w:val="32"/>
        </w:rPr>
        <w:t xml:space="preserve">6. </w:t>
      </w:r>
      <w:r>
        <w:rPr>
          <w:rFonts w:hint="eastAsia"/>
          <w:b/>
          <w:bCs/>
          <w:szCs w:val="32"/>
        </w:rPr>
        <w:t>加大人员培养引进力度。</w:t>
      </w:r>
      <w:r>
        <w:rPr>
          <w:rFonts w:hint="eastAsia"/>
          <w:szCs w:val="32"/>
        </w:rPr>
        <w:t>各地要对照工作目标，加强基层卫生人才定向培养，加大</w:t>
      </w:r>
      <w:r>
        <w:rPr>
          <w:rFonts w:hint="eastAsia"/>
          <w:szCs w:val="32"/>
          <w:lang w:val="zh-CN"/>
        </w:rPr>
        <w:t>财政支持力度，统筹用好编制资源，满足订单定向培养需求。采取</w:t>
      </w:r>
      <w:r>
        <w:rPr>
          <w:rFonts w:hint="eastAsia"/>
          <w:szCs w:val="32"/>
        </w:rPr>
        <w:t>自主</w:t>
      </w:r>
      <w:r>
        <w:rPr>
          <w:rFonts w:hint="eastAsia"/>
          <w:szCs w:val="32"/>
          <w:lang w:val="zh-CN"/>
        </w:rPr>
        <w:t>灵活多样的</w:t>
      </w:r>
      <w:r>
        <w:rPr>
          <w:rFonts w:hint="eastAsia"/>
          <w:szCs w:val="32"/>
        </w:rPr>
        <w:t>招聘方式、</w:t>
      </w:r>
      <w:r>
        <w:rPr>
          <w:rFonts w:hint="eastAsia"/>
          <w:szCs w:val="32"/>
          <w:lang w:val="zh-CN"/>
        </w:rPr>
        <w:t>激励方式，在保证卫生执业准入要求的前提下，可放宽报名条件，不设开考比例，简化招聘程序。</w:t>
      </w:r>
      <w:r>
        <w:rPr>
          <w:rFonts w:hint="eastAsia"/>
          <w:szCs w:val="32"/>
        </w:rPr>
        <w:t>每年度要提早谋划招聘工作，提早制定招聘计划，提早开展招聘工作。各地要探索建立招聘常态化机制，实行常态储备，全年招聘。</w:t>
      </w:r>
      <w:r>
        <w:rPr>
          <w:rFonts w:ascii="方正仿宋_GBK" w:hAnsi="方正仿宋_GBK" w:cs="方正仿宋_GBK" w:hint="eastAsia"/>
          <w:szCs w:val="32"/>
        </w:rPr>
        <w:t>到</w:t>
      </w:r>
      <w:r>
        <w:rPr>
          <w:rFonts w:hint="eastAsia"/>
          <w:szCs w:val="32"/>
        </w:rPr>
        <w:t>2025</w:t>
      </w:r>
      <w:r>
        <w:rPr>
          <w:rFonts w:ascii="方正仿宋_GBK" w:hAnsi="方正仿宋_GBK" w:cs="方正仿宋_GBK" w:hint="eastAsia"/>
          <w:szCs w:val="32"/>
        </w:rPr>
        <w:t>年，乡村医生中具备执业（助理）医师资格的人员比例提高到</w:t>
      </w:r>
      <w:r>
        <w:rPr>
          <w:rFonts w:hint="eastAsia"/>
          <w:szCs w:val="32"/>
        </w:rPr>
        <w:t>45%</w:t>
      </w:r>
      <w:r>
        <w:rPr>
          <w:rFonts w:ascii="方正仿宋_GBK" w:hAnsi="方正仿宋_GBK" w:cs="方正仿宋_GBK" w:hint="eastAsia"/>
          <w:szCs w:val="32"/>
        </w:rPr>
        <w:t>以上，逐步形成以执业（助理）医师为主体、全科专业为特色的乡村医疗卫生服务队伍。</w:t>
      </w:r>
    </w:p>
    <w:p w:rsidR="007A1596" w:rsidRDefault="00DC4461">
      <w:pPr>
        <w:pStyle w:val="a3"/>
        <w:spacing w:line="600" w:lineRule="exact"/>
        <w:ind w:firstLine="643"/>
        <w:rPr>
          <w:szCs w:val="32"/>
        </w:rPr>
      </w:pPr>
      <w:r>
        <w:rPr>
          <w:rFonts w:hint="eastAsia"/>
          <w:b/>
          <w:bCs/>
          <w:szCs w:val="32"/>
        </w:rPr>
        <w:t xml:space="preserve">7. </w:t>
      </w:r>
      <w:r>
        <w:rPr>
          <w:rFonts w:hint="eastAsia"/>
          <w:b/>
          <w:bCs/>
          <w:szCs w:val="32"/>
        </w:rPr>
        <w:t>提升人员待遇保障水平。</w:t>
      </w:r>
      <w:r>
        <w:rPr>
          <w:rFonts w:ascii="方正仿宋_GBK" w:hAnsi="方正仿宋_GBK" w:cs="方正仿宋_GBK" w:hint="eastAsia"/>
          <w:szCs w:val="32"/>
        </w:rPr>
        <w:t>落实“允许医疗卫生机构突破现行事业单位工资调控水平，允许医疗服务收入扣除成本并按规</w:t>
      </w:r>
      <w:r>
        <w:rPr>
          <w:rFonts w:ascii="方正仿宋_GBK" w:hAnsi="方正仿宋_GBK" w:cs="方正仿宋_GBK" w:hint="eastAsia"/>
          <w:szCs w:val="32"/>
        </w:rPr>
        <w:lastRenderedPageBreak/>
        <w:t>定提取各项基金后主要用于人员奖励”要求，统筹平衡乡镇卫生院与当地县级公立医院绩效工资水平的关系，合理核定绩效工资总量和水平。提升乡村医疗卫生机构全科医生工资水平，使其与当地县级公立医院同等条件临床医师工资水平相衔接。有条件的地方可以在乡村医疗卫生机构绩效工资内部分配时设立全科医生津贴项目并在绩效工资中单列。分类解决乡村医生养老和医疗保障问题。已纳入事业编制的乡村医生，按照有关规定参加机关事业单位基本养老保险、职工基本医疗保险等社会保险。未纳入事业编制的乡村医生，按照有关规定参加企业职工基本养老保险或城乡居民基本养老保险、职工基本医疗保险或城乡居民基本医疗保险等社会保险，有条件的地方可以结合实际给予适当补助。对年满</w:t>
      </w:r>
      <w:r>
        <w:rPr>
          <w:rFonts w:hint="eastAsia"/>
          <w:szCs w:val="32"/>
        </w:rPr>
        <w:t>60</w:t>
      </w:r>
      <w:r>
        <w:rPr>
          <w:rFonts w:ascii="方正仿宋_GBK" w:hAnsi="方正仿宋_GBK" w:cs="方正仿宋_GBK" w:hint="eastAsia"/>
          <w:szCs w:val="32"/>
        </w:rPr>
        <w:t>周岁的乡村医生，各地要结合实际采取补助等多种形式进一步提高其养老待遇。</w:t>
      </w:r>
    </w:p>
    <w:p w:rsidR="007A1596" w:rsidRDefault="00DC4461">
      <w:pPr>
        <w:spacing w:line="600" w:lineRule="exact"/>
        <w:ind w:firstLineChars="200" w:firstLine="643"/>
        <w:rPr>
          <w:szCs w:val="32"/>
        </w:rPr>
      </w:pPr>
      <w:r>
        <w:rPr>
          <w:rFonts w:hint="eastAsia"/>
          <w:b/>
          <w:bCs/>
          <w:szCs w:val="32"/>
        </w:rPr>
        <w:t xml:space="preserve">8. </w:t>
      </w:r>
      <w:r>
        <w:rPr>
          <w:rFonts w:hint="eastAsia"/>
          <w:b/>
          <w:bCs/>
          <w:szCs w:val="32"/>
        </w:rPr>
        <w:t>强化基层卫生队伍建设。</w:t>
      </w:r>
      <w:r>
        <w:rPr>
          <w:rFonts w:ascii="方正仿宋_GBK" w:hAnsi="方正仿宋_GBK" w:cs="方正仿宋_GBK" w:hint="eastAsia"/>
          <w:szCs w:val="32"/>
        </w:rPr>
        <w:t>以县（市、区）为单位每</w:t>
      </w:r>
      <w:r>
        <w:rPr>
          <w:rFonts w:hint="eastAsia"/>
          <w:szCs w:val="32"/>
        </w:rPr>
        <w:t>5</w:t>
      </w:r>
      <w:r>
        <w:rPr>
          <w:rFonts w:ascii="方正仿宋_GBK" w:hAnsi="方正仿宋_GBK" w:cs="方正仿宋_GBK" w:hint="eastAsia"/>
          <w:szCs w:val="32"/>
        </w:rPr>
        <w:t>年动态调整乡镇卫生院人员编制总量，盘活用好存量编制。乡镇卫生院用于专业技术人员的编制不得低于编制总额的</w:t>
      </w:r>
      <w:r>
        <w:rPr>
          <w:rFonts w:hint="eastAsia"/>
          <w:szCs w:val="32"/>
        </w:rPr>
        <w:t>90%</w:t>
      </w:r>
      <w:r>
        <w:rPr>
          <w:rFonts w:ascii="方正仿宋_GBK" w:hAnsi="方正仿宋_GBK" w:cs="方正仿宋_GBK" w:hint="eastAsia"/>
          <w:szCs w:val="32"/>
        </w:rPr>
        <w:t>。</w:t>
      </w:r>
      <w:r>
        <w:rPr>
          <w:rFonts w:hint="eastAsia"/>
          <w:szCs w:val="32"/>
        </w:rPr>
        <w:t>拓宽村卫生室（社区卫生服务站）医务人员发展空间，各县（市、区）可定向招聘在村卫生室（社区卫生服务站）工作满</w:t>
      </w:r>
      <w:r>
        <w:rPr>
          <w:rFonts w:hint="eastAsia"/>
          <w:szCs w:val="32"/>
        </w:rPr>
        <w:t>6</w:t>
      </w:r>
      <w:r>
        <w:rPr>
          <w:rFonts w:hint="eastAsia"/>
          <w:szCs w:val="32"/>
        </w:rPr>
        <w:t>年的执业（助理）医师进编。在配齐配足乡镇卫生院（社区卫生服务中心）事业编制的基础上，盘活剩余事业编制，按照比例用于村卫生室（社区卫生服务站）医务人员使用。</w:t>
      </w:r>
    </w:p>
    <w:p w:rsidR="007A1596" w:rsidRDefault="00DC4461">
      <w:pPr>
        <w:pStyle w:val="a3"/>
        <w:spacing w:line="600" w:lineRule="exact"/>
        <w:ind w:firstLine="640"/>
        <w:rPr>
          <w:rFonts w:eastAsia="方正楷体_GBK"/>
          <w:kern w:val="32"/>
          <w:szCs w:val="32"/>
        </w:rPr>
      </w:pPr>
      <w:r>
        <w:rPr>
          <w:rFonts w:eastAsia="方正楷体_GBK" w:hint="eastAsia"/>
          <w:kern w:val="32"/>
          <w:szCs w:val="32"/>
        </w:rPr>
        <w:lastRenderedPageBreak/>
        <w:t>（三）提升服务能力</w:t>
      </w:r>
    </w:p>
    <w:p w:rsidR="007A1596" w:rsidRDefault="00DC4461">
      <w:pPr>
        <w:widowControl/>
        <w:spacing w:line="600" w:lineRule="exact"/>
        <w:rPr>
          <w:szCs w:val="32"/>
        </w:rPr>
      </w:pPr>
      <w:r>
        <w:rPr>
          <w:rFonts w:hint="eastAsia"/>
          <w:b/>
          <w:bCs/>
          <w:szCs w:val="32"/>
        </w:rPr>
        <w:t xml:space="preserve">9. </w:t>
      </w:r>
      <w:r>
        <w:rPr>
          <w:rFonts w:hint="eastAsia"/>
          <w:b/>
          <w:bCs/>
          <w:szCs w:val="32"/>
        </w:rPr>
        <w:t>加强农村区域性医疗卫生中心建设。</w:t>
      </w:r>
      <w:r>
        <w:rPr>
          <w:rFonts w:hint="eastAsia"/>
          <w:szCs w:val="32"/>
        </w:rPr>
        <w:t>根据江苏省卫生健康委员会《关于印发江苏省农村区域性医疗卫生中心十大功能中心建设指南（</w:t>
      </w:r>
      <w:r>
        <w:rPr>
          <w:rFonts w:hint="eastAsia"/>
          <w:szCs w:val="32"/>
        </w:rPr>
        <w:t xml:space="preserve">2022 </w:t>
      </w:r>
      <w:r>
        <w:rPr>
          <w:rFonts w:hint="eastAsia"/>
          <w:szCs w:val="32"/>
        </w:rPr>
        <w:t>版）的通知》要求，鼓励支持全市</w:t>
      </w:r>
      <w:r>
        <w:rPr>
          <w:szCs w:val="32"/>
        </w:rPr>
        <w:t>29</w:t>
      </w:r>
      <w:r>
        <w:rPr>
          <w:szCs w:val="32"/>
        </w:rPr>
        <w:t>个农村区域性医疗卫生中心</w:t>
      </w:r>
      <w:r>
        <w:rPr>
          <w:rFonts w:hint="eastAsia"/>
          <w:szCs w:val="32"/>
        </w:rPr>
        <w:t>进一步拓展诊疗服务病种、技术项目和用药目录范围，不断提高常见疾病诊治能力，</w:t>
      </w:r>
      <w:r>
        <w:rPr>
          <w:rFonts w:ascii="方正仿宋_GBK" w:hAnsi="方正仿宋_GBK" w:cs="方正仿宋_GBK" w:hint="eastAsia"/>
          <w:szCs w:val="32"/>
        </w:rPr>
        <w:t>提升外科服务能力，使其可以按照相关诊疗规范开展常规手术。</w:t>
      </w:r>
      <w:r>
        <w:rPr>
          <w:rFonts w:hint="eastAsia"/>
          <w:szCs w:val="32"/>
        </w:rPr>
        <w:t>进一步强化全程、综合、连续健康管理服务，提高疾病预防和健康管理能力。到</w:t>
      </w:r>
      <w:r>
        <w:rPr>
          <w:rFonts w:hint="eastAsia"/>
          <w:szCs w:val="32"/>
        </w:rPr>
        <w:t>2025</w:t>
      </w:r>
      <w:r>
        <w:rPr>
          <w:rFonts w:hint="eastAsia"/>
          <w:szCs w:val="32"/>
        </w:rPr>
        <w:t>年全面建成居民健康体检与管理中心、接诊分诊中心、康复疼痛诊疗中心、消化内镜诊疗中心、妇儿中心、口腔中心、中医中心、精神卫生中心等八大功能中心，根据县域总体规划布局选建血液透析中心、基层卫生人员技能实训中心。</w:t>
      </w:r>
    </w:p>
    <w:p w:rsidR="007A1596" w:rsidRDefault="00DC4461">
      <w:pPr>
        <w:widowControl/>
        <w:spacing w:line="600" w:lineRule="exact"/>
        <w:ind w:firstLineChars="200" w:firstLine="643"/>
        <w:rPr>
          <w:b/>
          <w:bCs/>
          <w:szCs w:val="32"/>
        </w:rPr>
      </w:pPr>
      <w:r>
        <w:rPr>
          <w:rFonts w:hint="eastAsia"/>
          <w:b/>
          <w:bCs/>
          <w:szCs w:val="32"/>
        </w:rPr>
        <w:t>10.</w:t>
      </w:r>
      <w:r>
        <w:rPr>
          <w:rFonts w:hint="eastAsia"/>
          <w:b/>
          <w:bCs/>
          <w:szCs w:val="32"/>
        </w:rPr>
        <w:t>加强社区医院建设。</w:t>
      </w:r>
      <w:r>
        <w:rPr>
          <w:rFonts w:hint="eastAsia"/>
          <w:szCs w:val="32"/>
        </w:rPr>
        <w:t>将城市社区卫生服务中心和城乡结合部的乡镇卫生院纳入社区医院建设，根据基层医疗卫生机构基本情况、服务能力和群众看病就医需求等，结合区域卫生规划和医疗机构设置规划，确定社区医院建设发展规划，制定社区医院建设方案和年度计划。发挥社区医院贴近群众优势，积极开展签约服务、家庭病床服务、上门服务、社区护理、安宁疗护、随访管理服务等，落实慢性病长期用药处方管理要求，调整和适当延长社区医院门诊服务时间，提高服务可及性和便利性。到</w:t>
      </w:r>
      <w:r>
        <w:rPr>
          <w:rFonts w:hint="eastAsia"/>
          <w:szCs w:val="32"/>
        </w:rPr>
        <w:t>2025</w:t>
      </w:r>
      <w:r>
        <w:rPr>
          <w:rFonts w:hint="eastAsia"/>
          <w:szCs w:val="32"/>
        </w:rPr>
        <w:lastRenderedPageBreak/>
        <w:t>年全市</w:t>
      </w:r>
      <w:r>
        <w:rPr>
          <w:rFonts w:hint="eastAsia"/>
          <w:szCs w:val="32"/>
        </w:rPr>
        <w:t>20%</w:t>
      </w:r>
      <w:r>
        <w:rPr>
          <w:rFonts w:hint="eastAsia"/>
          <w:szCs w:val="32"/>
        </w:rPr>
        <w:t>以上的乡镇卫生院（社区卫生服务中心）建成社区医院。</w:t>
      </w:r>
    </w:p>
    <w:p w:rsidR="007A1596" w:rsidRDefault="00DC4461">
      <w:pPr>
        <w:widowControl/>
        <w:spacing w:line="600" w:lineRule="exact"/>
        <w:ind w:firstLineChars="200" w:firstLine="643"/>
        <w:rPr>
          <w:szCs w:val="32"/>
        </w:rPr>
      </w:pPr>
      <w:r>
        <w:rPr>
          <w:rFonts w:hint="eastAsia"/>
          <w:b/>
          <w:bCs/>
          <w:szCs w:val="32"/>
        </w:rPr>
        <w:t xml:space="preserve">11. </w:t>
      </w:r>
      <w:r>
        <w:rPr>
          <w:rFonts w:hint="eastAsia"/>
          <w:b/>
          <w:bCs/>
          <w:szCs w:val="32"/>
        </w:rPr>
        <w:t>加强县域医共体建设。</w:t>
      </w:r>
      <w:r>
        <w:rPr>
          <w:rFonts w:eastAsia="仿宋" w:hAnsi="仿宋" w:cs="仿宋" w:hint="eastAsia"/>
          <w:szCs w:val="32"/>
        </w:rPr>
        <w:t>落实省六部门《关于全面推进紧密型县域医疗卫生共同体建设的实施意见》，推进紧密型县域医共体建设，加强医共体内医学影像、检查检验、病理诊断、远程心电、消毒供应、区域审方等共享中心建设，实现资源集约利用、同质服务，推进医共体内行政、人事、财务、业务、后勤、用药、信息系统等统一管理，促进县乡村卫生健康服务一体化。鼓励农村区域性医疗卫生中心成为医共体骨干力量，发挥分级诊疗</w:t>
      </w:r>
      <w:r>
        <w:rPr>
          <w:rFonts w:eastAsia="仿宋" w:cs="仿宋" w:hint="eastAsia"/>
          <w:szCs w:val="32"/>
        </w:rPr>
        <w:t>“</w:t>
      </w:r>
      <w:r>
        <w:rPr>
          <w:rFonts w:eastAsia="仿宋" w:hAnsi="仿宋" w:cs="仿宋" w:hint="eastAsia"/>
          <w:szCs w:val="32"/>
        </w:rPr>
        <w:t>强腰</w:t>
      </w:r>
      <w:r>
        <w:rPr>
          <w:rFonts w:eastAsia="仿宋" w:cs="仿宋" w:hint="eastAsia"/>
          <w:szCs w:val="32"/>
        </w:rPr>
        <w:t>”</w:t>
      </w:r>
      <w:r>
        <w:rPr>
          <w:rFonts w:eastAsia="仿宋" w:hAnsi="仿宋" w:cs="仿宋" w:hint="eastAsia"/>
          <w:szCs w:val="32"/>
        </w:rPr>
        <w:t>功能。健全与岗位职责、工作业绩、实际贡献紧密联系的分配激励机制。推动医共体成员单位资源共享、用药衔接、检查互认、服务同质，引导资源和患者向乡村两级下沉。推进医共体医保基金总额付费，完善</w:t>
      </w:r>
      <w:r>
        <w:rPr>
          <w:rFonts w:eastAsia="仿宋" w:cs="仿宋" w:hint="eastAsia"/>
          <w:szCs w:val="32"/>
        </w:rPr>
        <w:t>“</w:t>
      </w:r>
      <w:r>
        <w:rPr>
          <w:rFonts w:eastAsia="仿宋" w:hAnsi="仿宋" w:cs="仿宋" w:hint="eastAsia"/>
          <w:szCs w:val="32"/>
        </w:rPr>
        <w:t>结余考核留用、超支合理分担</w:t>
      </w:r>
      <w:r>
        <w:rPr>
          <w:rFonts w:eastAsia="仿宋" w:cs="仿宋" w:hint="eastAsia"/>
          <w:szCs w:val="32"/>
        </w:rPr>
        <w:t>”</w:t>
      </w:r>
      <w:r>
        <w:rPr>
          <w:rFonts w:eastAsia="仿宋" w:hAnsi="仿宋" w:cs="仿宋" w:hint="eastAsia"/>
          <w:szCs w:val="32"/>
        </w:rPr>
        <w:t>机制，充分发挥医疗保障对医疗服务供需双方的引导作用。</w:t>
      </w:r>
    </w:p>
    <w:p w:rsidR="007A1596" w:rsidRDefault="00DC4461">
      <w:pPr>
        <w:widowControl/>
        <w:spacing w:line="600" w:lineRule="exact"/>
        <w:ind w:firstLineChars="200" w:firstLine="643"/>
        <w:rPr>
          <w:szCs w:val="32"/>
        </w:rPr>
      </w:pPr>
      <w:r>
        <w:rPr>
          <w:rFonts w:hint="eastAsia"/>
          <w:b/>
          <w:bCs/>
          <w:szCs w:val="32"/>
        </w:rPr>
        <w:t>12.</w:t>
      </w:r>
      <w:r>
        <w:rPr>
          <w:rFonts w:hint="eastAsia"/>
          <w:b/>
          <w:bCs/>
          <w:szCs w:val="32"/>
        </w:rPr>
        <w:t>加强基层特色科室建设。</w:t>
      </w:r>
      <w:r>
        <w:rPr>
          <w:rFonts w:hint="eastAsia"/>
          <w:szCs w:val="32"/>
        </w:rPr>
        <w:t>持续培育基层医疗机构特色科室建设，打造与群众健康需求相适应、具有品牌效应的特色诊疗服务。统筹布局、科学谋划市域内基层医疗特色科室建设方向，补齐儿科、口腔、中医、康复、药学等薄弱专科短板，形成“一院一品、全专并重、差异发展、优势互补”的良好格局。充分发挥基层特色科室市级孵化中心孵化功能，以基层实际需求为导向，对照省、市级基层特色科室创建标准，制定孵化计划，明确目标</w:t>
      </w:r>
      <w:r>
        <w:rPr>
          <w:rFonts w:hint="eastAsia"/>
          <w:szCs w:val="32"/>
        </w:rPr>
        <w:lastRenderedPageBreak/>
        <w:t>任务，全力帮助基层医疗卫生机构提高医疗服务能力。建立基层特色科室市级孵化中心绩效评估奖励机制，充分调动市级孵化中心工作积极性。</w:t>
      </w:r>
    </w:p>
    <w:p w:rsidR="007A1596" w:rsidRDefault="00DC4461">
      <w:pPr>
        <w:widowControl/>
        <w:spacing w:line="600" w:lineRule="exact"/>
        <w:ind w:firstLineChars="200" w:firstLine="643"/>
        <w:rPr>
          <w:b/>
          <w:bCs/>
          <w:szCs w:val="32"/>
        </w:rPr>
      </w:pPr>
      <w:r>
        <w:rPr>
          <w:rFonts w:hint="eastAsia"/>
          <w:b/>
          <w:bCs/>
          <w:szCs w:val="32"/>
        </w:rPr>
        <w:t>13.</w:t>
      </w:r>
      <w:r>
        <w:rPr>
          <w:rFonts w:hint="eastAsia"/>
          <w:b/>
          <w:bCs/>
          <w:szCs w:val="32"/>
        </w:rPr>
        <w:t>加强发热门诊或诊室建设。</w:t>
      </w:r>
      <w:r>
        <w:rPr>
          <w:rFonts w:hint="eastAsia"/>
          <w:szCs w:val="32"/>
        </w:rPr>
        <w:t>按照“应设尽设、应开尽开”和“建制镇卫生院和社区卫生服务中心发热诊室乡镇（街道）全覆盖”两个原则，推进一般乡镇卫生院（社区卫生服务中心）建立标准化的发热诊室，设置可转换的应急物理隔离区和隔离病房（观察室），配备必要的消毒产品、防护物资并做好储备、强化传染病防治知识、技能培训和应急演练，具备监测、筛查、隔离观察、应急处置、转诊和随访管理能力。在乡镇卫生院（社区卫生服务中心）推广“抗原</w:t>
      </w:r>
      <w:r>
        <w:rPr>
          <w:rFonts w:hint="eastAsia"/>
          <w:szCs w:val="32"/>
        </w:rPr>
        <w:t>+</w:t>
      </w:r>
      <w:r>
        <w:rPr>
          <w:rFonts w:hint="eastAsia"/>
          <w:szCs w:val="32"/>
        </w:rPr>
        <w:t>核酸”组合式检测策略，提升基层机构“早发现”能力。鼓励有条件的农村区域性医疗卫生中心设置规范化的发热门诊。到</w:t>
      </w:r>
      <w:r>
        <w:rPr>
          <w:rFonts w:hint="eastAsia"/>
          <w:szCs w:val="32"/>
        </w:rPr>
        <w:t>2023</w:t>
      </w:r>
      <w:r>
        <w:rPr>
          <w:rFonts w:hint="eastAsia"/>
          <w:szCs w:val="32"/>
        </w:rPr>
        <w:t>年底基层医疗卫生机构设置发热诊室（门诊、哨点）的比例达到</w:t>
      </w:r>
      <w:r>
        <w:rPr>
          <w:rFonts w:hint="eastAsia"/>
          <w:szCs w:val="32"/>
        </w:rPr>
        <w:t>100%</w:t>
      </w:r>
      <w:r>
        <w:rPr>
          <w:rFonts w:hint="eastAsia"/>
          <w:szCs w:val="32"/>
        </w:rPr>
        <w:t>。</w:t>
      </w:r>
    </w:p>
    <w:p w:rsidR="007A1596" w:rsidRDefault="00DC4461">
      <w:pPr>
        <w:pStyle w:val="a3"/>
        <w:widowControl/>
        <w:autoSpaceDE/>
        <w:autoSpaceDN/>
        <w:snapToGrid/>
        <w:spacing w:line="600" w:lineRule="exact"/>
        <w:ind w:firstLine="643"/>
        <w:jc w:val="left"/>
        <w:rPr>
          <w:rFonts w:eastAsia="方正楷体_GBK"/>
          <w:kern w:val="32"/>
          <w:szCs w:val="32"/>
        </w:rPr>
      </w:pPr>
      <w:r>
        <w:rPr>
          <w:rFonts w:hint="eastAsia"/>
          <w:b/>
          <w:bCs/>
          <w:szCs w:val="32"/>
        </w:rPr>
        <w:t xml:space="preserve">14. </w:t>
      </w:r>
      <w:r>
        <w:rPr>
          <w:rFonts w:hint="eastAsia"/>
          <w:b/>
          <w:bCs/>
          <w:szCs w:val="32"/>
        </w:rPr>
        <w:t>加强村卫生室（社区卫生服务站）标准化建设。</w:t>
      </w:r>
      <w:r>
        <w:rPr>
          <w:szCs w:val="32"/>
        </w:rPr>
        <w:t>落实地方政府举办村卫生室（社区卫生服务站）主体责任，优化村卫生室（社区卫生服务站）建设布局，鼓励邻村合建中心村卫生室，提升设施设备条件。常住人口较少、服务半径大的地区，可通过加强巡回医疗、上级机构驻村服务、发展移动医疗和智慧医疗等方式，实现村级基本医疗卫生服务全覆盖。推进村卫生室（社区卫生服务站）设置</w:t>
      </w:r>
      <w:r>
        <w:rPr>
          <w:szCs w:val="32"/>
        </w:rPr>
        <w:t>“</w:t>
      </w:r>
      <w:r>
        <w:rPr>
          <w:szCs w:val="32"/>
        </w:rPr>
        <w:t>中医阁</w:t>
      </w:r>
      <w:r>
        <w:rPr>
          <w:szCs w:val="32"/>
        </w:rPr>
        <w:t>”</w:t>
      </w:r>
      <w:r>
        <w:rPr>
          <w:szCs w:val="32"/>
        </w:rPr>
        <w:t>，完善中医药场地、中医药诊疗服务</w:t>
      </w:r>
      <w:r>
        <w:rPr>
          <w:szCs w:val="32"/>
        </w:rPr>
        <w:lastRenderedPageBreak/>
        <w:t>设施，加强村卫生室（社区卫生服务站）医务人员中医药知识技能培训和适宜技术推广。进一步丰富村卫生室（社区卫生服务站）服务内涵，提高防治结合和健康管理服务水平，提升签约服务数字化、智能化水平。</w:t>
      </w:r>
    </w:p>
    <w:p w:rsidR="007A1596" w:rsidRDefault="00DC4461">
      <w:pPr>
        <w:pStyle w:val="a3"/>
        <w:widowControl/>
        <w:autoSpaceDE/>
        <w:autoSpaceDN/>
        <w:snapToGrid/>
        <w:spacing w:line="600" w:lineRule="exact"/>
        <w:ind w:firstLine="643"/>
        <w:jc w:val="left"/>
        <w:rPr>
          <w:szCs w:val="32"/>
        </w:rPr>
      </w:pPr>
      <w:r>
        <w:rPr>
          <w:rFonts w:hint="eastAsia"/>
          <w:b/>
          <w:bCs/>
          <w:szCs w:val="32"/>
        </w:rPr>
        <w:t xml:space="preserve">15. </w:t>
      </w:r>
      <w:r>
        <w:rPr>
          <w:rFonts w:hint="eastAsia"/>
          <w:b/>
          <w:bCs/>
          <w:szCs w:val="32"/>
        </w:rPr>
        <w:t>加强妇幼及老年人健康服务能力建设。</w:t>
      </w:r>
      <w:r>
        <w:rPr>
          <w:rFonts w:hint="eastAsia"/>
          <w:szCs w:val="32"/>
        </w:rPr>
        <w:t>开展孕产妇和</w:t>
      </w:r>
      <w:r>
        <w:rPr>
          <w:rFonts w:hint="eastAsia"/>
          <w:szCs w:val="32"/>
        </w:rPr>
        <w:t>0-6</w:t>
      </w:r>
      <w:r>
        <w:rPr>
          <w:rFonts w:hint="eastAsia"/>
          <w:szCs w:val="32"/>
        </w:rPr>
        <w:t>岁儿童健康管理工作，实施妇女宫颈癌、乳腺癌筛查，</w:t>
      </w:r>
      <w:r>
        <w:rPr>
          <w:rFonts w:eastAsia="仿宋"/>
          <w:szCs w:val="32"/>
        </w:rPr>
        <w:t>做实儿童健康管理家庭医生签约服务，健全儿童保健服务质量管理制度，规范开展</w:t>
      </w:r>
      <w:r>
        <w:rPr>
          <w:rFonts w:eastAsia="仿宋"/>
          <w:szCs w:val="32"/>
        </w:rPr>
        <w:t>0-6</w:t>
      </w:r>
      <w:r>
        <w:rPr>
          <w:rFonts w:eastAsia="仿宋"/>
          <w:szCs w:val="32"/>
        </w:rPr>
        <w:t>岁儿童健康管理服务，</w:t>
      </w:r>
      <w:r>
        <w:rPr>
          <w:rFonts w:eastAsia="仿宋"/>
          <w:szCs w:val="32"/>
        </w:rPr>
        <w:t>3</w:t>
      </w:r>
      <w:r>
        <w:rPr>
          <w:rFonts w:eastAsia="仿宋"/>
          <w:szCs w:val="32"/>
        </w:rPr>
        <w:t>岁以下儿童系统管理率和</w:t>
      </w:r>
      <w:r>
        <w:rPr>
          <w:rFonts w:eastAsia="仿宋"/>
          <w:szCs w:val="32"/>
        </w:rPr>
        <w:t>7</w:t>
      </w:r>
      <w:r>
        <w:rPr>
          <w:rFonts w:eastAsia="仿宋"/>
          <w:szCs w:val="32"/>
        </w:rPr>
        <w:t>岁以下儿童健康管理率分别保持在</w:t>
      </w:r>
      <w:r>
        <w:rPr>
          <w:rFonts w:eastAsia="仿宋"/>
          <w:szCs w:val="32"/>
        </w:rPr>
        <w:t>90%</w:t>
      </w:r>
      <w:r>
        <w:rPr>
          <w:rFonts w:eastAsia="仿宋"/>
          <w:szCs w:val="32"/>
        </w:rPr>
        <w:t>和</w:t>
      </w:r>
      <w:r>
        <w:rPr>
          <w:rFonts w:eastAsia="仿宋"/>
          <w:szCs w:val="32"/>
        </w:rPr>
        <w:t>95%</w:t>
      </w:r>
      <w:r>
        <w:rPr>
          <w:rFonts w:eastAsia="仿宋"/>
          <w:szCs w:val="32"/>
        </w:rPr>
        <w:t>以上</w:t>
      </w:r>
      <w:r>
        <w:rPr>
          <w:rFonts w:eastAsia="仿宋" w:hint="eastAsia"/>
          <w:szCs w:val="32"/>
        </w:rPr>
        <w:t>，</w:t>
      </w:r>
      <w:r>
        <w:rPr>
          <w:rFonts w:hint="eastAsia"/>
          <w:szCs w:val="32"/>
        </w:rPr>
        <w:t>开展妇幼健康规范化门诊建设，</w:t>
      </w:r>
      <w:r>
        <w:rPr>
          <w:rFonts w:eastAsia="仿宋"/>
          <w:szCs w:val="32"/>
        </w:rPr>
        <w:t>以服务内涵为重点，加快基层医疗卫生机构建设步伐，完善妇幼机构三级网络正常运行，保证基层网底的托底作用。</w:t>
      </w:r>
      <w:r>
        <w:rPr>
          <w:rFonts w:hint="eastAsia"/>
          <w:szCs w:val="32"/>
        </w:rPr>
        <w:t>统筹推进</w:t>
      </w:r>
      <w:r>
        <w:rPr>
          <w:rFonts w:hint="eastAsia"/>
          <w:szCs w:val="32"/>
        </w:rPr>
        <w:t>65</w:t>
      </w:r>
      <w:r>
        <w:rPr>
          <w:rFonts w:hint="eastAsia"/>
          <w:szCs w:val="32"/>
        </w:rPr>
        <w:t>岁以上老年人健康管理、老年健康与医养结合服务管理等老年人服务项目落实，全面建立重点人群健康管理联络体系。</w:t>
      </w:r>
    </w:p>
    <w:p w:rsidR="007A1596" w:rsidRDefault="00DC4461">
      <w:pPr>
        <w:pStyle w:val="a3"/>
        <w:spacing w:line="600" w:lineRule="exact"/>
        <w:ind w:firstLine="643"/>
        <w:rPr>
          <w:szCs w:val="32"/>
        </w:rPr>
      </w:pPr>
      <w:r>
        <w:rPr>
          <w:rFonts w:hint="eastAsia"/>
          <w:b/>
          <w:bCs/>
          <w:szCs w:val="32"/>
        </w:rPr>
        <w:t xml:space="preserve">16. </w:t>
      </w:r>
      <w:r>
        <w:rPr>
          <w:rFonts w:hint="eastAsia"/>
          <w:b/>
          <w:bCs/>
          <w:szCs w:val="32"/>
        </w:rPr>
        <w:t>拓展基层中医药服务。</w:t>
      </w:r>
      <w:r>
        <w:rPr>
          <w:rFonts w:hint="eastAsia"/>
          <w:szCs w:val="32"/>
        </w:rPr>
        <w:t>夯实基层医疗卫生机构中医药工作基础，到</w:t>
      </w:r>
      <w:r>
        <w:rPr>
          <w:rFonts w:hint="eastAsia"/>
          <w:szCs w:val="32"/>
        </w:rPr>
        <w:t>2025</w:t>
      </w:r>
      <w:r>
        <w:rPr>
          <w:rFonts w:hint="eastAsia"/>
          <w:szCs w:val="32"/>
        </w:rPr>
        <w:t>年，全市乡镇卫生院（社区卫生服务中心）“中医馆”建设全部达到省级标准，三级标准中医馆</w:t>
      </w:r>
      <w:r>
        <w:rPr>
          <w:rFonts w:hint="eastAsia"/>
          <w:szCs w:val="32"/>
        </w:rPr>
        <w:t>50%</w:t>
      </w:r>
      <w:r>
        <w:rPr>
          <w:rFonts w:hint="eastAsia"/>
          <w:szCs w:val="32"/>
        </w:rPr>
        <w:t>以上，四级标准中医馆</w:t>
      </w:r>
      <w:r>
        <w:rPr>
          <w:rFonts w:hint="eastAsia"/>
          <w:szCs w:val="32"/>
        </w:rPr>
        <w:t>30%</w:t>
      </w:r>
      <w:r>
        <w:rPr>
          <w:rFonts w:hint="eastAsia"/>
          <w:szCs w:val="32"/>
        </w:rPr>
        <w:t>以上，五级标准中医馆</w:t>
      </w:r>
      <w:r>
        <w:rPr>
          <w:rFonts w:hint="eastAsia"/>
          <w:szCs w:val="32"/>
        </w:rPr>
        <w:t>20%</w:t>
      </w:r>
      <w:r>
        <w:rPr>
          <w:rFonts w:hint="eastAsia"/>
          <w:szCs w:val="32"/>
        </w:rPr>
        <w:t>以上；社区卫生服务站、村卫生室“中医阁”建成率达</w:t>
      </w:r>
      <w:r>
        <w:rPr>
          <w:rFonts w:hint="eastAsia"/>
          <w:szCs w:val="32"/>
        </w:rPr>
        <w:t>60%</w:t>
      </w:r>
      <w:r>
        <w:rPr>
          <w:rFonts w:hint="eastAsia"/>
          <w:szCs w:val="32"/>
        </w:rPr>
        <w:t>以上；推进基层中医药技术服务能力提升，以基层医疗卫生机构中医药服务内涵建设为抓手，每年培训基层中医适宜技术推广人员不少于</w:t>
      </w:r>
      <w:r>
        <w:rPr>
          <w:rFonts w:hint="eastAsia"/>
          <w:szCs w:val="32"/>
        </w:rPr>
        <w:t>100</w:t>
      </w:r>
      <w:r>
        <w:rPr>
          <w:rFonts w:hint="eastAsia"/>
          <w:szCs w:val="32"/>
        </w:rPr>
        <w:t>人次，乡镇</w:t>
      </w:r>
      <w:r>
        <w:rPr>
          <w:rFonts w:hint="eastAsia"/>
          <w:szCs w:val="32"/>
        </w:rPr>
        <w:lastRenderedPageBreak/>
        <w:t>卫生院（社区卫生服务中心）“中医馆”和社区卫生服务站、村卫生室“中医阁”稳定持续开展中医适宜技术分别达到</w:t>
      </w:r>
      <w:r>
        <w:rPr>
          <w:rFonts w:hint="eastAsia"/>
          <w:szCs w:val="32"/>
        </w:rPr>
        <w:t>15</w:t>
      </w:r>
      <w:r>
        <w:rPr>
          <w:rFonts w:hint="eastAsia"/>
          <w:szCs w:val="32"/>
        </w:rPr>
        <w:t>项和</w:t>
      </w:r>
      <w:r>
        <w:rPr>
          <w:rFonts w:hint="eastAsia"/>
          <w:szCs w:val="32"/>
        </w:rPr>
        <w:t>8</w:t>
      </w:r>
      <w:r>
        <w:rPr>
          <w:rFonts w:hint="eastAsia"/>
          <w:szCs w:val="32"/>
        </w:rPr>
        <w:t>项；支持基层医疗卫生机构结合当地多发病、常见病开展中医药特色能力建设，增强中医药服务质效；做好全国基层中医药工作示范县创建工作。</w:t>
      </w:r>
    </w:p>
    <w:p w:rsidR="007A1596" w:rsidRDefault="00DC4461">
      <w:pPr>
        <w:pStyle w:val="a3"/>
        <w:spacing w:line="600" w:lineRule="exact"/>
        <w:ind w:firstLine="643"/>
        <w:rPr>
          <w:szCs w:val="32"/>
        </w:rPr>
      </w:pPr>
      <w:r>
        <w:rPr>
          <w:rFonts w:hint="eastAsia"/>
          <w:b/>
          <w:bCs/>
          <w:szCs w:val="32"/>
        </w:rPr>
        <w:t xml:space="preserve">17. </w:t>
      </w:r>
      <w:r>
        <w:rPr>
          <w:rFonts w:hint="eastAsia"/>
          <w:b/>
          <w:bCs/>
          <w:szCs w:val="32"/>
        </w:rPr>
        <w:t>加强卫生人员实训基地建设。</w:t>
      </w:r>
      <w:r>
        <w:rPr>
          <w:rFonts w:hint="eastAsia"/>
          <w:szCs w:val="32"/>
        </w:rPr>
        <w:t>各地要遴选一批基础条件较好、综合管理水平较高、医疗卫生服务能力较强、有发展潜力的基层医疗卫生机构和愿意承担基层卫生人员培训培养任务的医院、医学院校作为基层卫生人员实训基地建设单位。坚持立足基层、面向基层、服务基层的原则，对基层卫生人员、管理人员开展标准化、规范化、系统化、实务化的专业技能培训和考核评价，达到理论知识巩固、临床操作规范、全科素养加强、服务能力提升的效果。到</w:t>
      </w:r>
      <w:r>
        <w:rPr>
          <w:rFonts w:hint="eastAsia"/>
          <w:szCs w:val="32"/>
        </w:rPr>
        <w:t>2023</w:t>
      </w:r>
      <w:r>
        <w:rPr>
          <w:rFonts w:hint="eastAsia"/>
          <w:szCs w:val="32"/>
        </w:rPr>
        <w:t>年底各地至少建成一家县级基层卫生人员实训基地。各地要制定详细培训计划，确保所有基层卫生人员、基层医疗卫生机构管理人员每</w:t>
      </w:r>
      <w:r>
        <w:rPr>
          <w:rFonts w:hint="eastAsia"/>
          <w:szCs w:val="32"/>
        </w:rPr>
        <w:t>2</w:t>
      </w:r>
      <w:r>
        <w:rPr>
          <w:rFonts w:hint="eastAsia"/>
          <w:szCs w:val="32"/>
        </w:rPr>
        <w:t>年至少接收一次全面系统的轮训。</w:t>
      </w:r>
    </w:p>
    <w:p w:rsidR="007A1596" w:rsidRDefault="00DC4461">
      <w:pPr>
        <w:pStyle w:val="a3"/>
        <w:spacing w:line="600" w:lineRule="exact"/>
        <w:ind w:firstLine="643"/>
        <w:rPr>
          <w:rFonts w:eastAsia="方正楷体_GBK"/>
          <w:kern w:val="32"/>
          <w:szCs w:val="32"/>
        </w:rPr>
      </w:pPr>
      <w:r>
        <w:rPr>
          <w:rFonts w:hint="eastAsia"/>
          <w:b/>
          <w:bCs/>
          <w:szCs w:val="32"/>
        </w:rPr>
        <w:t xml:space="preserve">18. </w:t>
      </w:r>
      <w:r>
        <w:rPr>
          <w:rFonts w:hint="eastAsia"/>
          <w:b/>
          <w:bCs/>
          <w:szCs w:val="32"/>
        </w:rPr>
        <w:t>积极参与优质服务基层行活动。</w:t>
      </w:r>
      <w:r>
        <w:rPr>
          <w:rFonts w:hint="eastAsia"/>
          <w:szCs w:val="32"/>
        </w:rPr>
        <w:t>将国家“优质服务基层行”各项建设标准作为南通市基层医疗卫生机构改革的重要目标，全面参与国家“优质服务基层行”活动，各地乡镇卫生院（社区卫生服务中心）参与率需达到</w:t>
      </w:r>
      <w:r>
        <w:rPr>
          <w:rFonts w:hint="eastAsia"/>
          <w:szCs w:val="32"/>
        </w:rPr>
        <w:t>100%</w:t>
      </w:r>
      <w:r>
        <w:rPr>
          <w:rFonts w:hint="eastAsia"/>
          <w:szCs w:val="32"/>
        </w:rPr>
        <w:t>。要对照建设标准，查漏补缺，持续完善基础设施建设、人员队伍建设、服务能力建设等，确保到</w:t>
      </w:r>
      <w:r>
        <w:rPr>
          <w:rFonts w:hint="eastAsia"/>
          <w:szCs w:val="32"/>
        </w:rPr>
        <w:t>2025</w:t>
      </w:r>
      <w:r>
        <w:rPr>
          <w:rFonts w:hint="eastAsia"/>
          <w:szCs w:val="32"/>
        </w:rPr>
        <w:t>年，全市</w:t>
      </w:r>
      <w:r>
        <w:rPr>
          <w:rFonts w:hint="eastAsia"/>
          <w:szCs w:val="32"/>
        </w:rPr>
        <w:t>100%</w:t>
      </w:r>
      <w:r>
        <w:rPr>
          <w:rFonts w:hint="eastAsia"/>
          <w:szCs w:val="32"/>
        </w:rPr>
        <w:t>的</w:t>
      </w:r>
      <w:r>
        <w:rPr>
          <w:rFonts w:hint="eastAsia"/>
          <w:szCs w:val="32"/>
          <w:lang w:val="zh-CN"/>
        </w:rPr>
        <w:t>乡镇卫生院（社区卫生服务中心）</w:t>
      </w:r>
      <w:r>
        <w:rPr>
          <w:rFonts w:hint="eastAsia"/>
          <w:szCs w:val="32"/>
        </w:rPr>
        <w:lastRenderedPageBreak/>
        <w:t>达到“优质服务基层行”国家基本</w:t>
      </w:r>
      <w:r>
        <w:rPr>
          <w:rFonts w:hint="eastAsia"/>
          <w:szCs w:val="32"/>
          <w:lang w:val="zh-CN"/>
        </w:rPr>
        <w:t>标准，</w:t>
      </w:r>
      <w:r>
        <w:rPr>
          <w:rFonts w:hint="eastAsia"/>
          <w:szCs w:val="32"/>
        </w:rPr>
        <w:t>5</w:t>
      </w:r>
      <w:r>
        <w:rPr>
          <w:rFonts w:hint="eastAsia"/>
          <w:szCs w:val="32"/>
          <w:lang w:val="zh-CN"/>
        </w:rPr>
        <w:t>0%</w:t>
      </w:r>
      <w:r>
        <w:rPr>
          <w:rFonts w:hint="eastAsia"/>
          <w:szCs w:val="32"/>
          <w:lang w:val="zh-CN"/>
        </w:rPr>
        <w:t>的乡镇卫生院（社区卫生服务中心）</w:t>
      </w:r>
      <w:r>
        <w:rPr>
          <w:rFonts w:hint="eastAsia"/>
          <w:szCs w:val="32"/>
        </w:rPr>
        <w:t>达到“优质服务基层行”国家推荐</w:t>
      </w:r>
      <w:r>
        <w:rPr>
          <w:rFonts w:hint="eastAsia"/>
          <w:szCs w:val="32"/>
          <w:lang w:val="zh-CN"/>
        </w:rPr>
        <w:t>标准。</w:t>
      </w:r>
    </w:p>
    <w:p w:rsidR="007A1596" w:rsidRDefault="00DC4461">
      <w:pPr>
        <w:pStyle w:val="a3"/>
        <w:widowControl/>
        <w:numPr>
          <w:ilvl w:val="255"/>
          <w:numId w:val="0"/>
        </w:numPr>
        <w:autoSpaceDE/>
        <w:autoSpaceDN/>
        <w:snapToGrid/>
        <w:spacing w:line="600" w:lineRule="exact"/>
        <w:ind w:firstLineChars="200" w:firstLine="640"/>
        <w:jc w:val="left"/>
        <w:rPr>
          <w:rFonts w:eastAsia="方正楷体_GBK"/>
          <w:kern w:val="32"/>
          <w:szCs w:val="32"/>
        </w:rPr>
      </w:pPr>
      <w:r>
        <w:rPr>
          <w:rFonts w:eastAsia="方正楷体_GBK" w:hint="eastAsia"/>
          <w:kern w:val="32"/>
          <w:szCs w:val="32"/>
        </w:rPr>
        <w:t>（四）提升公共卫生质效</w:t>
      </w:r>
    </w:p>
    <w:p w:rsidR="007A1596" w:rsidRDefault="00DC4461">
      <w:pPr>
        <w:pStyle w:val="a3"/>
        <w:spacing w:line="600" w:lineRule="exact"/>
        <w:ind w:firstLine="643"/>
        <w:rPr>
          <w:szCs w:val="32"/>
        </w:rPr>
      </w:pPr>
      <w:r>
        <w:rPr>
          <w:rFonts w:hint="eastAsia"/>
          <w:b/>
          <w:bCs/>
          <w:szCs w:val="32"/>
        </w:rPr>
        <w:t xml:space="preserve">19. </w:t>
      </w:r>
      <w:r>
        <w:rPr>
          <w:rFonts w:hint="eastAsia"/>
          <w:b/>
          <w:bCs/>
          <w:szCs w:val="32"/>
        </w:rPr>
        <w:t>完善公共卫生基层网络体系。</w:t>
      </w:r>
      <w:r>
        <w:rPr>
          <w:rFonts w:hint="eastAsia"/>
          <w:szCs w:val="32"/>
        </w:rPr>
        <w:t>贯彻落实中共江苏省委</w:t>
      </w:r>
      <w:r>
        <w:rPr>
          <w:rFonts w:hint="eastAsia"/>
          <w:szCs w:val="32"/>
        </w:rPr>
        <w:t xml:space="preserve"> </w:t>
      </w:r>
      <w:r>
        <w:rPr>
          <w:rFonts w:hint="eastAsia"/>
          <w:szCs w:val="32"/>
        </w:rPr>
        <w:t>江苏省人民政府《关于完善重大疫情防控体制机制健全公共卫生应急管理体系的意见》（</w:t>
      </w:r>
      <w:r>
        <w:rPr>
          <w:rFonts w:hint="eastAsia"/>
          <w:szCs w:val="32"/>
          <w:lang w:val="zh-CN"/>
        </w:rPr>
        <w:t>苏发</w:t>
      </w:r>
      <w:r>
        <w:rPr>
          <w:rFonts w:hint="eastAsia"/>
          <w:szCs w:val="32"/>
        </w:rPr>
        <w:t>〔</w:t>
      </w:r>
      <w:r>
        <w:rPr>
          <w:rFonts w:hint="eastAsia"/>
          <w:szCs w:val="32"/>
        </w:rPr>
        <w:t>2020</w:t>
      </w:r>
      <w:r>
        <w:rPr>
          <w:rFonts w:hint="eastAsia"/>
          <w:szCs w:val="32"/>
        </w:rPr>
        <w:t>〕</w:t>
      </w:r>
      <w:r>
        <w:rPr>
          <w:rFonts w:hint="eastAsia"/>
          <w:szCs w:val="32"/>
          <w:lang w:val="zh-CN"/>
        </w:rPr>
        <w:t>27</w:t>
      </w:r>
      <w:r>
        <w:rPr>
          <w:rFonts w:hint="eastAsia"/>
          <w:szCs w:val="32"/>
          <w:lang w:val="zh-CN"/>
        </w:rPr>
        <w:t>号</w:t>
      </w:r>
      <w:r>
        <w:rPr>
          <w:rFonts w:hint="eastAsia"/>
          <w:szCs w:val="32"/>
        </w:rPr>
        <w:t>），明确乡镇（街道）和村（居）公共卫生应急管理职责，</w:t>
      </w:r>
      <w:r>
        <w:rPr>
          <w:rFonts w:hint="eastAsia"/>
          <w:szCs w:val="32"/>
        </w:rPr>
        <w:t>2023</w:t>
      </w:r>
      <w:r>
        <w:rPr>
          <w:rFonts w:hint="eastAsia"/>
          <w:szCs w:val="32"/>
        </w:rPr>
        <w:t>年底村（居）委员会公共卫生委员会建设覆盖率</w:t>
      </w:r>
      <w:r>
        <w:rPr>
          <w:rFonts w:hint="eastAsia"/>
          <w:szCs w:val="32"/>
        </w:rPr>
        <w:t>100%</w:t>
      </w:r>
      <w:r>
        <w:rPr>
          <w:rFonts w:hint="eastAsia"/>
          <w:szCs w:val="32"/>
        </w:rPr>
        <w:t>，在乡镇（街道）指导和村（居）党组织领导下，加强公共卫生委员会机制、队伍和能力建设，提高工作的规范化、体系化、社会化水平。实现公共卫生委员会机制全覆盖、能力普遍提升、作用有效发挥，初步建立起常态化管理和应急管理动态衔接的基层公共卫生管理机制。</w:t>
      </w:r>
    </w:p>
    <w:p w:rsidR="007A1596" w:rsidRDefault="00DC4461">
      <w:pPr>
        <w:pStyle w:val="a3"/>
        <w:spacing w:line="600" w:lineRule="exact"/>
        <w:ind w:firstLine="643"/>
        <w:rPr>
          <w:szCs w:val="32"/>
        </w:rPr>
      </w:pPr>
      <w:r>
        <w:rPr>
          <w:rFonts w:hint="eastAsia"/>
          <w:b/>
          <w:bCs/>
          <w:szCs w:val="32"/>
        </w:rPr>
        <w:t xml:space="preserve">20. </w:t>
      </w:r>
      <w:r>
        <w:rPr>
          <w:rFonts w:hint="eastAsia"/>
          <w:b/>
          <w:bCs/>
          <w:szCs w:val="32"/>
        </w:rPr>
        <w:t>加强传染病疫情报告和处置。</w:t>
      </w:r>
      <w:r>
        <w:rPr>
          <w:rFonts w:hint="eastAsia"/>
          <w:szCs w:val="32"/>
        </w:rPr>
        <w:t>乡镇（街道）医疗卫生机构协助疾病预防控制机构开展传染病疫情和突发公共卫生事件风险排查、收集和提供风险信息，开展传染病疫情和突发公共卫生事件监测、病人救治管理、信息报告、现场流调、疫点消毒等工作，以乡镇（街道）为单位，辖区法定传染病报告率</w:t>
      </w:r>
      <w:r>
        <w:rPr>
          <w:rFonts w:hint="eastAsia"/>
          <w:szCs w:val="32"/>
        </w:rPr>
        <w:t>100%</w:t>
      </w:r>
      <w:r>
        <w:rPr>
          <w:rFonts w:hint="eastAsia"/>
          <w:szCs w:val="32"/>
        </w:rPr>
        <w:t>，辖区传染病暴发疫情处置率</w:t>
      </w:r>
      <w:r>
        <w:rPr>
          <w:rFonts w:hint="eastAsia"/>
          <w:szCs w:val="32"/>
        </w:rPr>
        <w:t>100%</w:t>
      </w:r>
      <w:r>
        <w:rPr>
          <w:rFonts w:hint="eastAsia"/>
          <w:szCs w:val="32"/>
        </w:rPr>
        <w:t>。强化肺结核等重点传染病防控工作，</w:t>
      </w:r>
      <w:r>
        <w:rPr>
          <w:rFonts w:hint="eastAsia"/>
          <w:szCs w:val="32"/>
        </w:rPr>
        <w:t>65</w:t>
      </w:r>
      <w:r>
        <w:rPr>
          <w:rFonts w:hint="eastAsia"/>
          <w:szCs w:val="32"/>
        </w:rPr>
        <w:t>岁以上老年人、糖尿病患者中有症状者及肺结核密接接触者等重点人群的胸部</w:t>
      </w:r>
      <w:r>
        <w:rPr>
          <w:rFonts w:hint="eastAsia"/>
          <w:szCs w:val="32"/>
        </w:rPr>
        <w:t>X</w:t>
      </w:r>
      <w:r>
        <w:rPr>
          <w:rFonts w:hint="eastAsia"/>
          <w:szCs w:val="32"/>
        </w:rPr>
        <w:t>线及结核菌素试验检查率达到</w:t>
      </w:r>
      <w:r>
        <w:rPr>
          <w:rFonts w:hint="eastAsia"/>
          <w:szCs w:val="32"/>
        </w:rPr>
        <w:t>90%</w:t>
      </w:r>
      <w:r>
        <w:rPr>
          <w:rFonts w:hint="eastAsia"/>
          <w:szCs w:val="32"/>
        </w:rPr>
        <w:t>以上，村卫生室（社区卫生服务站）肺结核患者管理率达到</w:t>
      </w:r>
      <w:r>
        <w:rPr>
          <w:rFonts w:hint="eastAsia"/>
          <w:szCs w:val="32"/>
        </w:rPr>
        <w:t>90%</w:t>
      </w:r>
      <w:r>
        <w:rPr>
          <w:rFonts w:hint="eastAsia"/>
          <w:szCs w:val="32"/>
        </w:rPr>
        <w:t>以</w:t>
      </w:r>
      <w:r>
        <w:rPr>
          <w:rFonts w:hint="eastAsia"/>
          <w:szCs w:val="32"/>
        </w:rPr>
        <w:lastRenderedPageBreak/>
        <w:t>上、规范服药率达到</w:t>
      </w:r>
      <w:r>
        <w:rPr>
          <w:rFonts w:hint="eastAsia"/>
          <w:szCs w:val="32"/>
        </w:rPr>
        <w:t>90%</w:t>
      </w:r>
      <w:r>
        <w:rPr>
          <w:rFonts w:hint="eastAsia"/>
          <w:szCs w:val="32"/>
        </w:rPr>
        <w:t>以上。扩大艾滋病检测覆盖面，检测覆盖率高于当地常住人口数的</w:t>
      </w:r>
      <w:r>
        <w:rPr>
          <w:rFonts w:hint="eastAsia"/>
          <w:szCs w:val="32"/>
        </w:rPr>
        <w:t>25%</w:t>
      </w:r>
      <w:r>
        <w:rPr>
          <w:rFonts w:hint="eastAsia"/>
          <w:szCs w:val="32"/>
        </w:rPr>
        <w:t>。</w:t>
      </w:r>
    </w:p>
    <w:p w:rsidR="007A1596" w:rsidRDefault="00DC4461">
      <w:pPr>
        <w:pStyle w:val="a3"/>
        <w:spacing w:line="600" w:lineRule="exact"/>
        <w:ind w:firstLine="643"/>
        <w:rPr>
          <w:szCs w:val="32"/>
        </w:rPr>
      </w:pPr>
      <w:r>
        <w:rPr>
          <w:rFonts w:hint="eastAsia"/>
          <w:b/>
          <w:bCs/>
          <w:szCs w:val="32"/>
        </w:rPr>
        <w:t xml:space="preserve">21. </w:t>
      </w:r>
      <w:r>
        <w:rPr>
          <w:rFonts w:hint="eastAsia"/>
          <w:b/>
          <w:bCs/>
          <w:szCs w:val="32"/>
        </w:rPr>
        <w:t>扩大预防接种服务。</w:t>
      </w:r>
      <w:r>
        <w:rPr>
          <w:rFonts w:hint="eastAsia"/>
          <w:szCs w:val="32"/>
        </w:rPr>
        <w:t>以县（市、区）为单位，至少建成</w:t>
      </w:r>
      <w:r>
        <w:rPr>
          <w:rFonts w:hint="eastAsia"/>
          <w:szCs w:val="32"/>
        </w:rPr>
        <w:t>1</w:t>
      </w:r>
      <w:r>
        <w:rPr>
          <w:rFonts w:hint="eastAsia"/>
          <w:szCs w:val="32"/>
        </w:rPr>
        <w:t>个预防接种示范化门诊，承担辖区内预防接种带教工作；到</w:t>
      </w:r>
      <w:r>
        <w:rPr>
          <w:rFonts w:hint="eastAsia"/>
          <w:szCs w:val="32"/>
        </w:rPr>
        <w:t>2025</w:t>
      </w:r>
      <w:r>
        <w:rPr>
          <w:rFonts w:hint="eastAsia"/>
          <w:szCs w:val="32"/>
        </w:rPr>
        <w:t>年，至少</w:t>
      </w:r>
      <w:r>
        <w:rPr>
          <w:rFonts w:hint="eastAsia"/>
          <w:szCs w:val="32"/>
        </w:rPr>
        <w:t>60%</w:t>
      </w:r>
      <w:r>
        <w:rPr>
          <w:rFonts w:hint="eastAsia"/>
          <w:szCs w:val="32"/>
        </w:rPr>
        <w:t>的儿童预防接种单位，增设母婴室、资料室，留观区域设置儿童娱乐设施；所有预防接种门诊的专业人员，保证相对固定，避免频繁轮岗调动；村卫生室（社区卫生服务站）协助开展辖区内接种适龄儿童的管理，重点针对流动儿童做好预防接种走访摸排、宣传教育、通知接种等服务工作。</w:t>
      </w:r>
    </w:p>
    <w:p w:rsidR="007A1596" w:rsidRDefault="00DC4461">
      <w:pPr>
        <w:pStyle w:val="a3"/>
        <w:spacing w:line="600" w:lineRule="exact"/>
        <w:ind w:firstLine="643"/>
        <w:rPr>
          <w:szCs w:val="32"/>
        </w:rPr>
      </w:pPr>
      <w:r>
        <w:rPr>
          <w:rFonts w:hint="eastAsia"/>
          <w:b/>
          <w:bCs/>
          <w:szCs w:val="32"/>
        </w:rPr>
        <w:t xml:space="preserve">22. </w:t>
      </w:r>
      <w:r>
        <w:rPr>
          <w:rFonts w:hint="eastAsia"/>
          <w:b/>
          <w:bCs/>
          <w:szCs w:val="32"/>
        </w:rPr>
        <w:t>加强慢病防控健康教育。</w:t>
      </w:r>
      <w:r>
        <w:rPr>
          <w:rFonts w:hint="eastAsia"/>
          <w:szCs w:val="32"/>
        </w:rPr>
        <w:t>以慢性病综合防控示范区建设为抓手，强化高危人群早期发现和综合干预。</w:t>
      </w:r>
      <w:r>
        <w:rPr>
          <w:rFonts w:ascii="方正仿宋_GBK" w:hAnsi="方正仿宋_GBK" w:cs="方正仿宋_GBK" w:hint="eastAsia"/>
          <w:szCs w:val="32"/>
        </w:rPr>
        <w:t>创新医防协同、医防融合机制，加强医疗机构与疾病预防控制机构医防协同配合，逐步建立疾病预防控制监督员制度。</w:t>
      </w:r>
      <w:r>
        <w:rPr>
          <w:rFonts w:hint="eastAsia"/>
          <w:szCs w:val="32"/>
        </w:rPr>
        <w:t>乡镇（街道）推行基层高血压、糖尿病、慢性阻塞性肺疾病防治规范（示范）化联合门诊建设，落实精准健康管理，到</w:t>
      </w:r>
      <w:r>
        <w:rPr>
          <w:rFonts w:hint="eastAsia"/>
          <w:szCs w:val="32"/>
        </w:rPr>
        <w:t>2025</w:t>
      </w:r>
      <w:r>
        <w:rPr>
          <w:rFonts w:hint="eastAsia"/>
          <w:szCs w:val="32"/>
        </w:rPr>
        <w:t>年，建成率达到</w:t>
      </w:r>
      <w:r>
        <w:rPr>
          <w:rFonts w:hint="eastAsia"/>
          <w:szCs w:val="32"/>
        </w:rPr>
        <w:t>40%</w:t>
      </w:r>
      <w:r>
        <w:rPr>
          <w:rFonts w:hint="eastAsia"/>
          <w:szCs w:val="32"/>
        </w:rPr>
        <w:t>以上。开展基层健康科普讲师培训计划，到</w:t>
      </w:r>
      <w:r>
        <w:rPr>
          <w:rFonts w:hint="eastAsia"/>
          <w:szCs w:val="32"/>
        </w:rPr>
        <w:t>2025</w:t>
      </w:r>
      <w:r>
        <w:rPr>
          <w:rFonts w:hint="eastAsia"/>
          <w:szCs w:val="32"/>
        </w:rPr>
        <w:t>年，每个乡镇（街道）至少有</w:t>
      </w:r>
      <w:r>
        <w:rPr>
          <w:rFonts w:hint="eastAsia"/>
          <w:szCs w:val="32"/>
        </w:rPr>
        <w:t>2</w:t>
      </w:r>
      <w:r>
        <w:rPr>
          <w:rFonts w:hint="eastAsia"/>
          <w:szCs w:val="32"/>
        </w:rPr>
        <w:t>名健康科普讲师。</w:t>
      </w:r>
      <w:r>
        <w:rPr>
          <w:szCs w:val="32"/>
        </w:rPr>
        <w:t>广泛开展健康科普</w:t>
      </w:r>
      <w:r>
        <w:rPr>
          <w:rFonts w:hint="eastAsia"/>
          <w:szCs w:val="32"/>
        </w:rPr>
        <w:t>“六进”</w:t>
      </w:r>
      <w:r>
        <w:rPr>
          <w:szCs w:val="32"/>
        </w:rPr>
        <w:t>活动，创新健康教育的载体和方式，多层次、全方位宣传卫生健康知识，引导居民养成健康生活方式</w:t>
      </w:r>
      <w:r>
        <w:rPr>
          <w:rFonts w:hint="eastAsia"/>
          <w:szCs w:val="32"/>
        </w:rPr>
        <w:t>，到</w:t>
      </w:r>
      <w:r>
        <w:rPr>
          <w:rFonts w:hint="eastAsia"/>
          <w:szCs w:val="32"/>
        </w:rPr>
        <w:t>2025</w:t>
      </w:r>
      <w:r>
        <w:rPr>
          <w:rFonts w:hint="eastAsia"/>
          <w:szCs w:val="32"/>
        </w:rPr>
        <w:t>年，</w:t>
      </w:r>
      <w:r>
        <w:rPr>
          <w:szCs w:val="32"/>
        </w:rPr>
        <w:t>居民健康素养水平提高到</w:t>
      </w:r>
      <w:r>
        <w:rPr>
          <w:szCs w:val="32"/>
        </w:rPr>
        <w:t>36%</w:t>
      </w:r>
      <w:r>
        <w:rPr>
          <w:szCs w:val="32"/>
        </w:rPr>
        <w:t>以上。</w:t>
      </w:r>
    </w:p>
    <w:p w:rsidR="007A1596" w:rsidRDefault="00DC4461">
      <w:pPr>
        <w:pStyle w:val="a3"/>
        <w:spacing w:line="600" w:lineRule="exact"/>
        <w:ind w:firstLine="643"/>
        <w:rPr>
          <w:szCs w:val="32"/>
        </w:rPr>
      </w:pPr>
      <w:r>
        <w:rPr>
          <w:rFonts w:hint="eastAsia"/>
          <w:b/>
          <w:bCs/>
          <w:szCs w:val="32"/>
        </w:rPr>
        <w:t xml:space="preserve">23. </w:t>
      </w:r>
      <w:r>
        <w:rPr>
          <w:rFonts w:hint="eastAsia"/>
          <w:b/>
          <w:bCs/>
          <w:szCs w:val="32"/>
        </w:rPr>
        <w:t>加强基层精神卫生服务。</w:t>
      </w:r>
      <w:r>
        <w:rPr>
          <w:rFonts w:hint="eastAsia"/>
          <w:szCs w:val="32"/>
        </w:rPr>
        <w:t>建立健全基层心理健康服务平</w:t>
      </w:r>
      <w:r>
        <w:rPr>
          <w:rFonts w:hint="eastAsia"/>
          <w:szCs w:val="32"/>
        </w:rPr>
        <w:lastRenderedPageBreak/>
        <w:t>台，构建以精神专科医院为主体，设有精神（心理）科的综合医院为辅助，基层医疗卫生机构为依托的心理健康服务体系，提高精神卫生医疗服务可及性。推动基层医疗卫生服务机构开设精神（心理）科门诊，到</w:t>
      </w:r>
      <w:r>
        <w:rPr>
          <w:rFonts w:hint="eastAsia"/>
          <w:szCs w:val="32"/>
        </w:rPr>
        <w:t>2025</w:t>
      </w:r>
      <w:r>
        <w:rPr>
          <w:rFonts w:hint="eastAsia"/>
          <w:szCs w:val="32"/>
        </w:rPr>
        <w:t>年，</w:t>
      </w:r>
      <w:r>
        <w:rPr>
          <w:rFonts w:eastAsia="仿宋" w:hint="eastAsia"/>
          <w:szCs w:val="32"/>
        </w:rPr>
        <w:t>20%</w:t>
      </w:r>
      <w:r>
        <w:rPr>
          <w:rFonts w:eastAsia="仿宋" w:hint="eastAsia"/>
          <w:szCs w:val="32"/>
        </w:rPr>
        <w:t>的乡镇卫生院（社区卫生服务中心）完成</w:t>
      </w:r>
      <w:r>
        <w:rPr>
          <w:rFonts w:eastAsia="仿宋"/>
          <w:szCs w:val="32"/>
        </w:rPr>
        <w:t>精神（心理）科</w:t>
      </w:r>
      <w:r>
        <w:rPr>
          <w:rFonts w:eastAsia="仿宋" w:hint="eastAsia"/>
          <w:szCs w:val="32"/>
        </w:rPr>
        <w:t>门诊建设目标</w:t>
      </w:r>
      <w:r>
        <w:rPr>
          <w:rFonts w:eastAsia="仿宋"/>
          <w:szCs w:val="32"/>
        </w:rPr>
        <w:t>。</w:t>
      </w:r>
      <w:r>
        <w:rPr>
          <w:rFonts w:hint="eastAsia"/>
          <w:szCs w:val="32"/>
        </w:rPr>
        <w:t>加强基层医师对常见精神卫生问题的早期识别能力，全科医生参加精神科医师转岗培训，每个</w:t>
      </w:r>
      <w:r>
        <w:rPr>
          <w:rFonts w:eastAsia="仿宋" w:hint="eastAsia"/>
          <w:szCs w:val="32"/>
        </w:rPr>
        <w:t>乡镇卫生院（社区卫生服务中心）</w:t>
      </w:r>
      <w:r>
        <w:rPr>
          <w:rFonts w:hint="eastAsia"/>
          <w:szCs w:val="32"/>
        </w:rPr>
        <w:t>拥有不少于</w:t>
      </w:r>
      <w:r>
        <w:rPr>
          <w:rFonts w:hint="eastAsia"/>
          <w:szCs w:val="32"/>
        </w:rPr>
        <w:t>2</w:t>
      </w:r>
      <w:r>
        <w:rPr>
          <w:rFonts w:hint="eastAsia"/>
          <w:szCs w:val="32"/>
        </w:rPr>
        <w:t>名具有精神卫生执业资质医师。完善建立严重精神障碍患者转介机制，实现精神卫生医疗机构和基层医疗卫生机构之间的双向转介与管理。健全精神卫生服务体系和服务网络，精神障碍患者联合常态复筛查形成制度，严重精神障碍救治管理措施有效落实，力争到</w:t>
      </w:r>
      <w:r>
        <w:rPr>
          <w:rFonts w:hint="eastAsia"/>
          <w:szCs w:val="32"/>
        </w:rPr>
        <w:t>2025</w:t>
      </w:r>
      <w:r>
        <w:rPr>
          <w:rFonts w:hint="eastAsia"/>
          <w:szCs w:val="32"/>
        </w:rPr>
        <w:t>年各乡镇（街道）严重精神障碍管理治疗工作指标达到报告患病率＞</w:t>
      </w:r>
      <w:r>
        <w:rPr>
          <w:rFonts w:hint="eastAsia"/>
          <w:szCs w:val="32"/>
        </w:rPr>
        <w:t>4.60</w:t>
      </w:r>
      <w:r>
        <w:rPr>
          <w:rFonts w:hint="eastAsia"/>
          <w:szCs w:val="32"/>
        </w:rPr>
        <w:t>‰、规范管理率＞</w:t>
      </w:r>
      <w:r>
        <w:rPr>
          <w:rFonts w:hint="eastAsia"/>
          <w:szCs w:val="32"/>
        </w:rPr>
        <w:t>90%</w:t>
      </w:r>
      <w:r>
        <w:rPr>
          <w:rFonts w:hint="eastAsia"/>
          <w:szCs w:val="32"/>
        </w:rPr>
        <w:t>、规律服药率</w:t>
      </w:r>
      <w:r>
        <w:rPr>
          <w:rFonts w:hint="eastAsia"/>
          <w:szCs w:val="32"/>
        </w:rPr>
        <w:t>&gt;90%</w:t>
      </w:r>
      <w:r>
        <w:rPr>
          <w:rFonts w:hint="eastAsia"/>
          <w:szCs w:val="32"/>
        </w:rPr>
        <w:t>、面访率</w:t>
      </w:r>
      <w:r>
        <w:rPr>
          <w:rFonts w:hint="eastAsia"/>
          <w:szCs w:val="32"/>
        </w:rPr>
        <w:t>&gt;80%</w:t>
      </w:r>
      <w:r>
        <w:rPr>
          <w:rFonts w:hint="eastAsia"/>
          <w:szCs w:val="32"/>
        </w:rPr>
        <w:t>、体检率</w:t>
      </w:r>
      <w:r>
        <w:rPr>
          <w:rFonts w:hint="eastAsia"/>
          <w:szCs w:val="32"/>
        </w:rPr>
        <w:t>&gt;80%</w:t>
      </w:r>
      <w:r>
        <w:rPr>
          <w:rFonts w:hint="eastAsia"/>
          <w:szCs w:val="32"/>
        </w:rPr>
        <w:t>的要求目标。</w:t>
      </w:r>
    </w:p>
    <w:p w:rsidR="007A1596" w:rsidRDefault="00DC4461">
      <w:pPr>
        <w:pStyle w:val="a3"/>
        <w:autoSpaceDE/>
        <w:autoSpaceDN/>
        <w:snapToGrid/>
        <w:spacing w:line="600" w:lineRule="exact"/>
        <w:ind w:firstLine="643"/>
        <w:rPr>
          <w:szCs w:val="32"/>
        </w:rPr>
      </w:pPr>
      <w:r>
        <w:rPr>
          <w:rFonts w:hint="eastAsia"/>
          <w:b/>
          <w:bCs/>
          <w:szCs w:val="32"/>
        </w:rPr>
        <w:t xml:space="preserve">24. </w:t>
      </w:r>
      <w:r>
        <w:rPr>
          <w:rFonts w:hint="eastAsia"/>
          <w:b/>
          <w:bCs/>
          <w:szCs w:val="32"/>
        </w:rPr>
        <w:t>强化职业卫生、卫生计生监督协管服务。</w:t>
      </w:r>
      <w:r>
        <w:rPr>
          <w:rFonts w:hint="eastAsia"/>
          <w:szCs w:val="32"/>
        </w:rPr>
        <w:t>乡镇卫生院（社区卫生服务中心）落实专人负责职业卫生服务工作，明确工作职责，完善工作台账，协助县级疾控监督机构，开展职业卫生现场服务工作；设立公共卫生监督科，履行公共卫生监督职能，协助监督执法机构开展食源性疾病及相关信息报告、饮用水卫生安全巡查、学校卫生服务、非法行医和非法采供血信息报告、计划生育相关信息报告等工作。</w:t>
      </w:r>
    </w:p>
    <w:p w:rsidR="007A1596" w:rsidRDefault="00DC4461">
      <w:pPr>
        <w:pStyle w:val="a3"/>
        <w:spacing w:line="600" w:lineRule="exact"/>
        <w:ind w:firstLine="640"/>
        <w:rPr>
          <w:rFonts w:eastAsia="方正楷体_GBK"/>
          <w:kern w:val="32"/>
          <w:szCs w:val="32"/>
        </w:rPr>
      </w:pPr>
      <w:r>
        <w:rPr>
          <w:rFonts w:eastAsia="方正楷体_GBK" w:hint="eastAsia"/>
          <w:kern w:val="32"/>
          <w:szCs w:val="32"/>
        </w:rPr>
        <w:lastRenderedPageBreak/>
        <w:t>（五）优化服务模式</w:t>
      </w:r>
    </w:p>
    <w:p w:rsidR="007A1596" w:rsidRDefault="00DC4461">
      <w:pPr>
        <w:pStyle w:val="a3"/>
        <w:spacing w:line="600" w:lineRule="exact"/>
        <w:ind w:firstLine="643"/>
        <w:rPr>
          <w:rFonts w:eastAsia="仿宋"/>
          <w:szCs w:val="32"/>
        </w:rPr>
      </w:pPr>
      <w:r>
        <w:rPr>
          <w:rFonts w:hint="eastAsia"/>
          <w:b/>
          <w:bCs/>
          <w:szCs w:val="32"/>
        </w:rPr>
        <w:t xml:space="preserve">25. </w:t>
      </w:r>
      <w:r>
        <w:rPr>
          <w:rFonts w:hint="eastAsia"/>
          <w:b/>
          <w:bCs/>
          <w:szCs w:val="32"/>
        </w:rPr>
        <w:t>打造智慧健康平台。</w:t>
      </w:r>
      <w:r>
        <w:rPr>
          <w:rFonts w:hint="eastAsia"/>
          <w:szCs w:val="32"/>
        </w:rPr>
        <w:t>参照智慧医院建设要求，着力提升全员信息化素质，落实专职信息化技术保障人员，完善基层医疗卫生机构信息化建设，充分利用现代信息技术整合各类信息数据资源，优化服务流程，提升服务质量和管理效率。以提升人民群众健康服务便捷性和基层医疗卫生机构务实应用为核心，着力解决“看病环节多、看病流程复杂、医患沟通不畅”等问题，切实改善群众就医体验。努力解决“系统报表繁”、“多头重复填报”、“数据共享难”等问题，切实为基层医生减负提效。建立健全基于大数据技术的分级诊疗信息系统，</w:t>
      </w:r>
      <w:r>
        <w:rPr>
          <w:rFonts w:eastAsia="仿宋" w:hAnsi="仿宋" w:hint="eastAsia"/>
          <w:szCs w:val="32"/>
        </w:rPr>
        <w:t>促进基层医疗卫生机构与其它各级各类医疗机构业务衔接，实现居民电子健康档案、电子病历、检验检查结果信息共享和授权使用。到</w:t>
      </w:r>
      <w:r>
        <w:rPr>
          <w:rFonts w:eastAsia="仿宋" w:hAnsi="仿宋" w:hint="eastAsia"/>
          <w:szCs w:val="32"/>
        </w:rPr>
        <w:t>2025</w:t>
      </w:r>
      <w:r>
        <w:rPr>
          <w:rFonts w:eastAsia="仿宋" w:hAnsi="仿宋" w:hint="eastAsia"/>
          <w:szCs w:val="32"/>
        </w:rPr>
        <w:t>年，城乡居民电子健康档案建档率达</w:t>
      </w:r>
      <w:r>
        <w:rPr>
          <w:rFonts w:eastAsia="仿宋" w:hAnsi="仿宋" w:hint="eastAsia"/>
          <w:szCs w:val="32"/>
        </w:rPr>
        <w:t>95%</w:t>
      </w:r>
      <w:r>
        <w:rPr>
          <w:rFonts w:eastAsia="仿宋" w:hAnsi="仿宋" w:hint="eastAsia"/>
          <w:szCs w:val="32"/>
        </w:rPr>
        <w:t>以上、健康档案使用率达</w:t>
      </w:r>
      <w:r>
        <w:rPr>
          <w:rFonts w:eastAsia="仿宋" w:hAnsi="仿宋" w:hint="eastAsia"/>
          <w:szCs w:val="32"/>
        </w:rPr>
        <w:t>65%</w:t>
      </w:r>
      <w:r>
        <w:rPr>
          <w:rFonts w:eastAsia="仿宋" w:hAnsi="仿宋" w:hint="eastAsia"/>
          <w:szCs w:val="32"/>
        </w:rPr>
        <w:t>以上。</w:t>
      </w:r>
    </w:p>
    <w:p w:rsidR="007A1596" w:rsidRDefault="00DC4461">
      <w:pPr>
        <w:pStyle w:val="a3"/>
        <w:spacing w:line="600" w:lineRule="exact"/>
        <w:ind w:firstLine="643"/>
        <w:rPr>
          <w:szCs w:val="32"/>
        </w:rPr>
      </w:pPr>
      <w:r>
        <w:rPr>
          <w:rFonts w:hint="eastAsia"/>
          <w:b/>
          <w:bCs/>
          <w:szCs w:val="32"/>
        </w:rPr>
        <w:t xml:space="preserve">26. </w:t>
      </w:r>
      <w:r>
        <w:rPr>
          <w:rFonts w:hint="eastAsia"/>
          <w:b/>
          <w:bCs/>
          <w:szCs w:val="32"/>
        </w:rPr>
        <w:t>拓展家庭医生签约服务。</w:t>
      </w:r>
      <w:r>
        <w:rPr>
          <w:szCs w:val="32"/>
        </w:rPr>
        <w:t>充实家庭医生签约队伍，鼓励医共体牵头医院或二级以上公立医院医生、退休医生参与签约服务，</w:t>
      </w:r>
      <w:r>
        <w:rPr>
          <w:rFonts w:hint="eastAsia"/>
          <w:szCs w:val="32"/>
        </w:rPr>
        <w:t>加强家庭医生签约服务队伍、健康管理团队和全科医生工作室建设，开发运行“家庭医生签约服务系统”，优化“互联网</w:t>
      </w:r>
      <w:r>
        <w:rPr>
          <w:rFonts w:hint="eastAsia"/>
          <w:szCs w:val="32"/>
        </w:rPr>
        <w:t>+</w:t>
      </w:r>
      <w:r>
        <w:rPr>
          <w:rFonts w:hint="eastAsia"/>
          <w:szCs w:val="32"/>
        </w:rPr>
        <w:t>”签约服务，实施老年人、慢性病患者、重性精神疾病患者、孕产妇、计划生育特殊家庭等重点人群的个性化签约服务，到</w:t>
      </w:r>
      <w:r>
        <w:rPr>
          <w:rFonts w:hint="eastAsia"/>
          <w:szCs w:val="32"/>
        </w:rPr>
        <w:t>2025</w:t>
      </w:r>
      <w:r>
        <w:rPr>
          <w:rFonts w:hint="eastAsia"/>
          <w:szCs w:val="32"/>
        </w:rPr>
        <w:t>年，城乡居民签约服务覆盖率达到</w:t>
      </w:r>
      <w:r>
        <w:rPr>
          <w:rFonts w:hint="eastAsia"/>
          <w:szCs w:val="32"/>
        </w:rPr>
        <w:t>70%</w:t>
      </w:r>
      <w:r>
        <w:rPr>
          <w:rFonts w:hint="eastAsia"/>
          <w:szCs w:val="32"/>
        </w:rPr>
        <w:t>以上，重点人群签约服务覆盖率达到</w:t>
      </w:r>
      <w:r>
        <w:rPr>
          <w:rFonts w:hint="eastAsia"/>
          <w:szCs w:val="32"/>
        </w:rPr>
        <w:t>80%</w:t>
      </w:r>
      <w:r>
        <w:rPr>
          <w:rFonts w:hint="eastAsia"/>
          <w:szCs w:val="32"/>
        </w:rPr>
        <w:t>以上；加大基层家庭药师培养，将家庭药师编入</w:t>
      </w:r>
      <w:r>
        <w:rPr>
          <w:rFonts w:hint="eastAsia"/>
          <w:szCs w:val="32"/>
        </w:rPr>
        <w:lastRenderedPageBreak/>
        <w:t>家庭医生签约服务团队，为签约人群重点是慢性病患者提供个性化居家药物治疗管理服务；</w:t>
      </w:r>
      <w:r>
        <w:rPr>
          <w:szCs w:val="32"/>
        </w:rPr>
        <w:t>为确有需要的老年人、残疾人等</w:t>
      </w:r>
      <w:r>
        <w:rPr>
          <w:rFonts w:hint="eastAsia"/>
          <w:szCs w:val="32"/>
        </w:rPr>
        <w:t>重点人群</w:t>
      </w:r>
      <w:r>
        <w:rPr>
          <w:szCs w:val="32"/>
        </w:rPr>
        <w:t>提供上门医疗、长期</w:t>
      </w:r>
      <w:r>
        <w:rPr>
          <w:rFonts w:hint="eastAsia"/>
          <w:szCs w:val="32"/>
        </w:rPr>
        <w:t>处方</w:t>
      </w:r>
      <w:r>
        <w:rPr>
          <w:szCs w:val="32"/>
        </w:rPr>
        <w:t>等服务。</w:t>
      </w:r>
      <w:r>
        <w:rPr>
          <w:rFonts w:eastAsia="仿宋" w:hAnsi="仿宋" w:hint="eastAsia"/>
          <w:szCs w:val="32"/>
        </w:rPr>
        <w:t>到</w:t>
      </w:r>
      <w:r>
        <w:rPr>
          <w:rFonts w:eastAsia="仿宋" w:hAnsi="仿宋" w:hint="eastAsia"/>
          <w:szCs w:val="32"/>
        </w:rPr>
        <w:t>2025</w:t>
      </w:r>
      <w:r>
        <w:rPr>
          <w:rFonts w:eastAsia="仿宋" w:hAnsi="仿宋" w:hint="eastAsia"/>
          <w:szCs w:val="32"/>
        </w:rPr>
        <w:t>年，能提供长期处方服务的乡镇卫生院和社区卫生服务中心覆盖率达</w:t>
      </w:r>
      <w:r>
        <w:rPr>
          <w:rFonts w:eastAsia="仿宋" w:hAnsi="仿宋" w:hint="eastAsia"/>
          <w:szCs w:val="32"/>
        </w:rPr>
        <w:t>100%</w:t>
      </w:r>
      <w:r>
        <w:rPr>
          <w:rFonts w:hint="eastAsia"/>
          <w:szCs w:val="32"/>
        </w:rPr>
        <w:t>。</w:t>
      </w:r>
      <w:r>
        <w:rPr>
          <w:szCs w:val="32"/>
        </w:rPr>
        <w:t>合理确定签约服务费</w:t>
      </w:r>
      <w:r>
        <w:rPr>
          <w:rFonts w:hint="eastAsia"/>
          <w:szCs w:val="32"/>
        </w:rPr>
        <w:t>，</w:t>
      </w:r>
      <w:r>
        <w:rPr>
          <w:rFonts w:hint="eastAsia"/>
          <w:szCs w:val="32"/>
          <w:lang w:val="zh-CN"/>
        </w:rPr>
        <w:t>签约服务费用由医保基金、基本公共卫生服务经费资金和个人付费等分担，探索将签约居民的门诊基金按人头支付给基层医疗卫生机构或者家庭医生团队。</w:t>
      </w:r>
    </w:p>
    <w:p w:rsidR="007A1596" w:rsidRDefault="00DC4461">
      <w:pPr>
        <w:spacing w:line="590" w:lineRule="exact"/>
        <w:ind w:firstLine="640"/>
        <w:rPr>
          <w:szCs w:val="32"/>
        </w:rPr>
      </w:pPr>
      <w:r>
        <w:rPr>
          <w:rFonts w:hint="eastAsia"/>
          <w:b/>
          <w:bCs/>
          <w:szCs w:val="32"/>
        </w:rPr>
        <w:t xml:space="preserve">27. </w:t>
      </w:r>
      <w:r>
        <w:rPr>
          <w:b/>
          <w:bCs/>
          <w:szCs w:val="32"/>
        </w:rPr>
        <w:t>开展</w:t>
      </w:r>
      <w:r>
        <w:rPr>
          <w:rFonts w:hint="eastAsia"/>
          <w:b/>
          <w:bCs/>
          <w:szCs w:val="32"/>
        </w:rPr>
        <w:t>预约上门和家庭病床服务。</w:t>
      </w:r>
      <w:r>
        <w:rPr>
          <w:rFonts w:hint="eastAsia"/>
          <w:szCs w:val="32"/>
        </w:rPr>
        <w:t>坚持以人为本，</w:t>
      </w:r>
      <w:r>
        <w:rPr>
          <w:rFonts w:hint="eastAsia"/>
          <w:szCs w:val="32"/>
          <w:lang w:val="zh-CN"/>
        </w:rPr>
        <w:t>对失能、残疾人、术后康复期患者、</w:t>
      </w:r>
      <w:r>
        <w:rPr>
          <w:rFonts w:hint="eastAsia"/>
          <w:szCs w:val="32"/>
        </w:rPr>
        <w:t>高龄</w:t>
      </w:r>
      <w:r>
        <w:rPr>
          <w:rFonts w:hint="eastAsia"/>
          <w:szCs w:val="32"/>
          <w:lang w:val="zh-CN"/>
        </w:rPr>
        <w:t>或者行动不便的其他人员，经评估后提供预约上门和家庭病床服务。</w:t>
      </w:r>
      <w:r>
        <w:rPr>
          <w:rFonts w:hint="eastAsia"/>
          <w:szCs w:val="32"/>
        </w:rPr>
        <w:t>健全家庭医生预约上门服务制度和规范，合理设置家庭病床。</w:t>
      </w:r>
      <w:r>
        <w:rPr>
          <w:rFonts w:hint="eastAsia"/>
          <w:szCs w:val="32"/>
          <w:lang w:val="zh-CN"/>
        </w:rPr>
        <w:t>设立体现基层卫生特点的巡诊、家庭病床、健康管理等医疗服务价格项目，合理体现基层医疗卫生人员技术劳务价值。</w:t>
      </w:r>
      <w:r>
        <w:rPr>
          <w:rFonts w:hint="eastAsia"/>
          <w:szCs w:val="32"/>
        </w:rPr>
        <w:t>按照国家卫生健康委办公厅《关于做好村级医疗卫生巡诊派驻服务工作的通知》精神，规范开展村级医疗卫生巡诊、派驻和邻（联）村卫生室延伸服务工作，促进农村居民享受便捷可及、优质高效的基本医疗卫生服务，推进农村地区公共服务均等化。</w:t>
      </w:r>
      <w:r>
        <w:rPr>
          <w:rFonts w:hint="eastAsia"/>
          <w:szCs w:val="32"/>
        </w:rPr>
        <w:t xml:space="preserve"> </w:t>
      </w:r>
    </w:p>
    <w:p w:rsidR="007A1596" w:rsidRDefault="00DC4461">
      <w:pPr>
        <w:spacing w:line="600" w:lineRule="exact"/>
        <w:ind w:firstLineChars="200" w:firstLine="643"/>
        <w:rPr>
          <w:szCs w:val="32"/>
        </w:rPr>
      </w:pPr>
      <w:r>
        <w:rPr>
          <w:rFonts w:hint="eastAsia"/>
          <w:b/>
          <w:bCs/>
          <w:szCs w:val="32"/>
        </w:rPr>
        <w:t xml:space="preserve">28. </w:t>
      </w:r>
      <w:r>
        <w:rPr>
          <w:rFonts w:hint="eastAsia"/>
          <w:b/>
          <w:bCs/>
          <w:szCs w:val="32"/>
        </w:rPr>
        <w:t>实施社区医养结合提升工程。</w:t>
      </w:r>
      <w:r>
        <w:rPr>
          <w:rFonts w:hint="eastAsia"/>
          <w:szCs w:val="32"/>
        </w:rPr>
        <w:t>加快社区医养结合机构建设，鼓励医疗资源丰富的地区将部分公立医疗机构转型为护理、康复医疗机构。支持乡镇卫生院（社区卫生服务中心）设立老年、康复、护理和安宁疗护床位，到</w:t>
      </w:r>
      <w:r>
        <w:rPr>
          <w:rFonts w:hint="eastAsia"/>
          <w:szCs w:val="32"/>
        </w:rPr>
        <w:t>2025</w:t>
      </w:r>
      <w:r>
        <w:rPr>
          <w:rFonts w:hint="eastAsia"/>
          <w:szCs w:val="32"/>
        </w:rPr>
        <w:t>年，</w:t>
      </w:r>
      <w:r>
        <w:rPr>
          <w:rFonts w:hint="eastAsia"/>
          <w:szCs w:val="32"/>
          <w:lang w:val="zh-CN"/>
        </w:rPr>
        <w:t>乡镇卫生院（社区卫生</w:t>
      </w:r>
      <w:r>
        <w:rPr>
          <w:rFonts w:hint="eastAsia"/>
          <w:szCs w:val="32"/>
          <w:lang w:val="zh-CN"/>
        </w:rPr>
        <w:lastRenderedPageBreak/>
        <w:t>服务中心）</w:t>
      </w:r>
      <w:r>
        <w:rPr>
          <w:rFonts w:hint="eastAsia"/>
          <w:szCs w:val="32"/>
        </w:rPr>
        <w:t>老年、护理、康复床位占比达</w:t>
      </w:r>
      <w:r>
        <w:rPr>
          <w:rFonts w:hint="eastAsia"/>
          <w:szCs w:val="32"/>
        </w:rPr>
        <w:t>35%</w:t>
      </w:r>
      <w:r>
        <w:rPr>
          <w:rFonts w:hint="eastAsia"/>
          <w:szCs w:val="32"/>
        </w:rPr>
        <w:t>以上。加强社区医养结合服务能力建设，推动基层医疗卫生机构为居家高龄或失能老年人提供家庭病床、上门巡诊等居家医疗服务，增加居家医疗服务供给。</w:t>
      </w:r>
    </w:p>
    <w:p w:rsidR="007A1596" w:rsidRDefault="00DC4461">
      <w:pPr>
        <w:pStyle w:val="a3"/>
        <w:numPr>
          <w:ilvl w:val="0"/>
          <w:numId w:val="2"/>
        </w:numPr>
        <w:spacing w:line="600" w:lineRule="exact"/>
        <w:ind w:firstLine="640"/>
        <w:rPr>
          <w:rFonts w:eastAsia="方正黑体_GBK"/>
          <w:kern w:val="32"/>
          <w:szCs w:val="32"/>
        </w:rPr>
      </w:pPr>
      <w:r>
        <w:rPr>
          <w:rFonts w:eastAsia="方正黑体_GBK" w:hint="eastAsia"/>
          <w:kern w:val="32"/>
          <w:szCs w:val="32"/>
        </w:rPr>
        <w:t>职责分工</w:t>
      </w:r>
    </w:p>
    <w:p w:rsidR="007A1596" w:rsidRDefault="00DC4461">
      <w:pPr>
        <w:spacing w:line="600" w:lineRule="exact"/>
        <w:ind w:firstLineChars="200" w:firstLine="640"/>
        <w:rPr>
          <w:rFonts w:eastAsia="方正楷体_GBK"/>
          <w:kern w:val="32"/>
          <w:szCs w:val="32"/>
        </w:rPr>
      </w:pPr>
      <w:r>
        <w:rPr>
          <w:rFonts w:eastAsia="方正楷体_GBK" w:hint="eastAsia"/>
          <w:kern w:val="32"/>
          <w:szCs w:val="32"/>
        </w:rPr>
        <w:t>（一）各县（市、区）政府（管委会）。</w:t>
      </w:r>
      <w:r>
        <w:rPr>
          <w:rFonts w:hint="eastAsia"/>
          <w:kern w:val="32"/>
          <w:szCs w:val="32"/>
        </w:rPr>
        <w:t>对辖区基层医疗卫生服务能力提升工作总牵头、总负责，具体负责方案的制定和组织推进落实工作。</w:t>
      </w:r>
    </w:p>
    <w:p w:rsidR="007A1596" w:rsidRDefault="00DC4461">
      <w:pPr>
        <w:pStyle w:val="a3"/>
        <w:spacing w:line="600" w:lineRule="exact"/>
        <w:ind w:firstLineChars="0" w:firstLine="640"/>
        <w:rPr>
          <w:kern w:val="32"/>
          <w:szCs w:val="32"/>
        </w:rPr>
      </w:pPr>
      <w:r>
        <w:rPr>
          <w:rFonts w:eastAsia="方正楷体_GBK" w:hint="eastAsia"/>
          <w:kern w:val="32"/>
          <w:szCs w:val="32"/>
        </w:rPr>
        <w:t>（二）发展改革部门。</w:t>
      </w:r>
      <w:r>
        <w:rPr>
          <w:rFonts w:hint="eastAsia"/>
          <w:kern w:val="32"/>
          <w:szCs w:val="32"/>
        </w:rPr>
        <w:t>负责协调指导医疗卫生资源均衡布局和优质医疗资源扩容。</w:t>
      </w:r>
    </w:p>
    <w:p w:rsidR="007A1596" w:rsidRDefault="00DC4461">
      <w:pPr>
        <w:pStyle w:val="a3"/>
        <w:spacing w:line="600" w:lineRule="exact"/>
        <w:ind w:firstLineChars="0" w:firstLine="640"/>
        <w:rPr>
          <w:kern w:val="32"/>
          <w:szCs w:val="32"/>
        </w:rPr>
      </w:pPr>
      <w:r>
        <w:rPr>
          <w:rFonts w:eastAsia="方正楷体_GBK" w:hint="eastAsia"/>
          <w:kern w:val="32"/>
          <w:szCs w:val="32"/>
        </w:rPr>
        <w:t>（三）财政部门。</w:t>
      </w:r>
      <w:r>
        <w:rPr>
          <w:rFonts w:hint="eastAsia"/>
          <w:kern w:val="32"/>
          <w:szCs w:val="32"/>
        </w:rPr>
        <w:t>按政策规定落实财政经费保障工作。</w:t>
      </w:r>
    </w:p>
    <w:p w:rsidR="007A1596" w:rsidRDefault="00DC4461">
      <w:pPr>
        <w:pStyle w:val="a3"/>
        <w:spacing w:line="600" w:lineRule="exact"/>
        <w:ind w:firstLineChars="0" w:firstLine="640"/>
        <w:rPr>
          <w:kern w:val="32"/>
          <w:szCs w:val="32"/>
        </w:rPr>
      </w:pPr>
      <w:r>
        <w:rPr>
          <w:rFonts w:eastAsia="方正楷体_GBK" w:hint="eastAsia"/>
          <w:kern w:val="32"/>
          <w:szCs w:val="32"/>
          <w:lang w:val="zh-CN"/>
        </w:rPr>
        <w:t>（</w:t>
      </w:r>
      <w:r>
        <w:rPr>
          <w:rFonts w:eastAsia="方正楷体_GBK" w:hint="eastAsia"/>
          <w:kern w:val="32"/>
          <w:szCs w:val="32"/>
        </w:rPr>
        <w:t>四</w:t>
      </w:r>
      <w:r>
        <w:rPr>
          <w:rFonts w:eastAsia="方正楷体_GBK" w:hint="eastAsia"/>
          <w:kern w:val="32"/>
          <w:szCs w:val="32"/>
          <w:lang w:val="zh-CN"/>
        </w:rPr>
        <w:t>）人力资源社会保障</w:t>
      </w:r>
      <w:r>
        <w:rPr>
          <w:rFonts w:eastAsia="方正楷体_GBK" w:hint="eastAsia"/>
          <w:kern w:val="32"/>
          <w:szCs w:val="32"/>
        </w:rPr>
        <w:t>部门。</w:t>
      </w:r>
      <w:r>
        <w:rPr>
          <w:rFonts w:hint="eastAsia"/>
          <w:kern w:val="32"/>
          <w:szCs w:val="32"/>
        </w:rPr>
        <w:t>协同卫健部门研究制定基层卫生人才引进政策，推进基层卫生人才队伍建设。合理核定基层医疗卫生机构绩效工资总量。</w:t>
      </w:r>
    </w:p>
    <w:p w:rsidR="007A1596" w:rsidRDefault="00DC4461">
      <w:pPr>
        <w:pStyle w:val="a3"/>
        <w:spacing w:line="600" w:lineRule="exact"/>
        <w:ind w:firstLineChars="0" w:firstLine="640"/>
        <w:rPr>
          <w:kern w:val="32"/>
          <w:szCs w:val="32"/>
        </w:rPr>
      </w:pPr>
      <w:r>
        <w:rPr>
          <w:rFonts w:eastAsia="方正楷体_GBK" w:hint="eastAsia"/>
          <w:kern w:val="32"/>
          <w:szCs w:val="32"/>
          <w:lang w:val="zh-CN"/>
        </w:rPr>
        <w:t>（</w:t>
      </w:r>
      <w:r>
        <w:rPr>
          <w:rFonts w:eastAsia="方正楷体_GBK" w:hint="eastAsia"/>
          <w:kern w:val="32"/>
          <w:szCs w:val="32"/>
        </w:rPr>
        <w:t>五</w:t>
      </w:r>
      <w:r>
        <w:rPr>
          <w:rFonts w:eastAsia="方正楷体_GBK" w:hint="eastAsia"/>
          <w:kern w:val="32"/>
          <w:szCs w:val="32"/>
          <w:lang w:val="zh-CN"/>
        </w:rPr>
        <w:t>）机构编制部门。</w:t>
      </w:r>
      <w:r>
        <w:rPr>
          <w:rFonts w:hint="eastAsia"/>
          <w:szCs w:val="32"/>
          <w:lang w:val="zh-CN"/>
        </w:rPr>
        <w:t>合理核定并动态调整基层医疗卫生机构编制总量，统筹安排包括乡村医生在内的各类符合条件的医疗卫生人才用编进人计划，优先保障基层医疗卫生机构用人需求</w:t>
      </w:r>
      <w:r>
        <w:rPr>
          <w:kern w:val="32"/>
          <w:szCs w:val="32"/>
        </w:rPr>
        <w:t>。</w:t>
      </w:r>
      <w:r>
        <w:rPr>
          <w:rFonts w:hint="eastAsia"/>
          <w:kern w:val="32"/>
          <w:szCs w:val="32"/>
        </w:rPr>
        <w:t>支持乡镇卫生院（社区卫生服务中心）选派在编医技人员到村卫生室（社区卫生服务站）工作。积极推动县级公立医院编制备案管理。</w:t>
      </w:r>
    </w:p>
    <w:p w:rsidR="007A1596" w:rsidRDefault="00DC4461">
      <w:pPr>
        <w:pStyle w:val="a3"/>
        <w:spacing w:line="600" w:lineRule="exact"/>
        <w:ind w:firstLineChars="0" w:firstLine="640"/>
        <w:rPr>
          <w:kern w:val="32"/>
          <w:szCs w:val="32"/>
        </w:rPr>
      </w:pPr>
      <w:r>
        <w:rPr>
          <w:rFonts w:eastAsia="方正楷体_GBK" w:hint="eastAsia"/>
          <w:kern w:val="32"/>
          <w:szCs w:val="32"/>
        </w:rPr>
        <w:t>（六）卫生健康部门。</w:t>
      </w:r>
      <w:r>
        <w:rPr>
          <w:rFonts w:hint="eastAsia"/>
          <w:szCs w:val="32"/>
        </w:rPr>
        <w:t>负责牵头制定基层医疗卫生发展规划，</w:t>
      </w:r>
      <w:r>
        <w:rPr>
          <w:rFonts w:hint="eastAsia"/>
          <w:szCs w:val="32"/>
        </w:rPr>
        <w:lastRenderedPageBreak/>
        <w:t>根据该文件进一步细化工作任务，指导各地完善政策保障，优化机构布局，改善基础设施，配齐设施设备，加大人员引进培养力度，切实提升基层医疗卫生服务能力，确保基层卫生事业健康、可持续发展。</w:t>
      </w:r>
    </w:p>
    <w:p w:rsidR="00985107" w:rsidRDefault="00DC4461" w:rsidP="00985107">
      <w:pPr>
        <w:adjustRightInd w:val="0"/>
        <w:spacing w:line="600" w:lineRule="exact"/>
        <w:ind w:firstLineChars="200" w:firstLine="640"/>
        <w:rPr>
          <w:szCs w:val="32"/>
        </w:rPr>
      </w:pPr>
      <w:r>
        <w:rPr>
          <w:rFonts w:eastAsia="方正楷体_GBK" w:hint="eastAsia"/>
          <w:kern w:val="32"/>
          <w:szCs w:val="32"/>
          <w:lang w:val="zh-CN"/>
        </w:rPr>
        <w:t>（</w:t>
      </w:r>
      <w:r>
        <w:rPr>
          <w:rFonts w:eastAsia="方正楷体_GBK" w:hint="eastAsia"/>
          <w:kern w:val="32"/>
          <w:szCs w:val="32"/>
        </w:rPr>
        <w:t>七</w:t>
      </w:r>
      <w:r>
        <w:rPr>
          <w:rFonts w:eastAsia="方正楷体_GBK" w:hint="eastAsia"/>
          <w:kern w:val="32"/>
          <w:szCs w:val="32"/>
          <w:lang w:val="zh-CN"/>
        </w:rPr>
        <w:t>）医疗保障部门。</w:t>
      </w:r>
      <w:r>
        <w:rPr>
          <w:rFonts w:hint="eastAsia"/>
          <w:szCs w:val="32"/>
        </w:rPr>
        <w:t>负责牵头建立基层医疗服务价格动态调整机制，确保医保基金支付给基层医疗卫生机构的比例与参保人员在基层就医比例保持同步增长，引导居民基层首诊。医保基金按规定分担家庭医生签约服务费用。</w:t>
      </w:r>
    </w:p>
    <w:p w:rsidR="007A1596" w:rsidRPr="00985107" w:rsidRDefault="00DC4461" w:rsidP="00985107">
      <w:pPr>
        <w:adjustRightInd w:val="0"/>
        <w:spacing w:line="600" w:lineRule="exact"/>
        <w:ind w:firstLineChars="200" w:firstLine="640"/>
        <w:rPr>
          <w:szCs w:val="32"/>
        </w:rPr>
      </w:pPr>
      <w:r>
        <w:rPr>
          <w:rFonts w:eastAsia="方正黑体_GBK" w:hint="eastAsia"/>
          <w:kern w:val="32"/>
          <w:szCs w:val="32"/>
        </w:rPr>
        <w:t>五、保障措施</w:t>
      </w:r>
    </w:p>
    <w:p w:rsidR="007A1596" w:rsidRDefault="00DC4461">
      <w:pPr>
        <w:adjustRightInd w:val="0"/>
        <w:spacing w:line="600" w:lineRule="exact"/>
        <w:ind w:firstLineChars="200" w:firstLine="640"/>
        <w:rPr>
          <w:szCs w:val="32"/>
        </w:rPr>
      </w:pPr>
      <w:r>
        <w:rPr>
          <w:rFonts w:eastAsia="方正楷体_GBK" w:hint="eastAsia"/>
          <w:kern w:val="32"/>
          <w:szCs w:val="32"/>
          <w:lang w:val="zh-CN"/>
        </w:rPr>
        <w:t>（</w:t>
      </w:r>
      <w:r>
        <w:rPr>
          <w:rFonts w:eastAsia="方正楷体_GBK" w:hint="eastAsia"/>
          <w:kern w:val="32"/>
          <w:szCs w:val="32"/>
        </w:rPr>
        <w:t>一</w:t>
      </w:r>
      <w:r>
        <w:rPr>
          <w:rFonts w:eastAsia="方正楷体_GBK" w:hint="eastAsia"/>
          <w:kern w:val="32"/>
          <w:szCs w:val="32"/>
          <w:lang w:val="zh-CN"/>
        </w:rPr>
        <w:t>）加强组织领导。</w:t>
      </w:r>
      <w:r>
        <w:rPr>
          <w:rFonts w:hint="eastAsia"/>
          <w:kern w:val="32"/>
          <w:szCs w:val="32"/>
        </w:rPr>
        <w:t>提升基层医疗卫生服务能力是保障人民群众生命安全和身体健康的重要举措，是推进健康南通建设的重要内容。各地要提高思想认识，落实主体责任，将</w:t>
      </w:r>
      <w:r>
        <w:rPr>
          <w:rFonts w:hint="eastAsia"/>
          <w:szCs w:val="32"/>
          <w:lang w:val="zh-CN"/>
        </w:rPr>
        <w:t>基层</w:t>
      </w:r>
      <w:r>
        <w:rPr>
          <w:rFonts w:hint="eastAsia"/>
          <w:szCs w:val="32"/>
        </w:rPr>
        <w:t>医疗卫生</w:t>
      </w:r>
      <w:r>
        <w:rPr>
          <w:rFonts w:hint="eastAsia"/>
          <w:szCs w:val="32"/>
          <w:lang w:val="zh-CN"/>
        </w:rPr>
        <w:t>事业</w:t>
      </w:r>
      <w:r>
        <w:rPr>
          <w:rFonts w:hint="eastAsia"/>
          <w:szCs w:val="32"/>
        </w:rPr>
        <w:t>发展与决胜高水平全面建成小康社会补短板强弱项若干措施相结合，</w:t>
      </w:r>
      <w:r>
        <w:rPr>
          <w:rFonts w:hint="eastAsia"/>
          <w:szCs w:val="32"/>
          <w:lang w:val="zh-CN"/>
        </w:rPr>
        <w:t>纳入本地区国民经济和社会发展规划，</w:t>
      </w:r>
      <w:r>
        <w:rPr>
          <w:rFonts w:hint="eastAsia"/>
          <w:szCs w:val="32"/>
        </w:rPr>
        <w:t>聚焦基层医疗卫生发展重点难点堵点问题，</w:t>
      </w:r>
      <w:r>
        <w:rPr>
          <w:rFonts w:hint="eastAsia"/>
          <w:kern w:val="32"/>
          <w:szCs w:val="32"/>
        </w:rPr>
        <w:t>制定提升计划，列出任务清单，细化工作举措，明确时间节点，精心组织、扎实推进，确保行动方案落到实处。各地政府要按照本方案因地制宜制订具体实施方案。</w:t>
      </w:r>
    </w:p>
    <w:p w:rsidR="007A1596" w:rsidRDefault="00DC4461">
      <w:pPr>
        <w:adjustRightInd w:val="0"/>
        <w:spacing w:line="600" w:lineRule="exact"/>
        <w:ind w:firstLineChars="200" w:firstLine="640"/>
        <w:rPr>
          <w:rFonts w:eastAsia="方正楷体_GBK"/>
          <w:kern w:val="32"/>
          <w:szCs w:val="32"/>
          <w:lang w:val="zh-CN"/>
        </w:rPr>
      </w:pPr>
      <w:r>
        <w:rPr>
          <w:rFonts w:eastAsia="方正楷体_GBK" w:hint="eastAsia"/>
          <w:kern w:val="32"/>
          <w:szCs w:val="32"/>
          <w:lang w:val="zh-CN"/>
        </w:rPr>
        <w:t>（</w:t>
      </w:r>
      <w:r>
        <w:rPr>
          <w:rFonts w:eastAsia="方正楷体_GBK" w:hint="eastAsia"/>
          <w:kern w:val="32"/>
          <w:szCs w:val="32"/>
        </w:rPr>
        <w:t>二</w:t>
      </w:r>
      <w:r>
        <w:rPr>
          <w:rFonts w:eastAsia="方正楷体_GBK" w:hint="eastAsia"/>
          <w:kern w:val="32"/>
          <w:szCs w:val="32"/>
          <w:lang w:val="zh-CN"/>
        </w:rPr>
        <w:t>）健全投入机制。</w:t>
      </w:r>
      <w:r>
        <w:rPr>
          <w:rFonts w:ascii="方正仿宋_GBK" w:hAnsi="方正仿宋_GBK" w:cs="方正仿宋_GBK" w:hint="eastAsia"/>
          <w:szCs w:val="32"/>
        </w:rPr>
        <w:t>落实属地党委和政府乡村医疗卫生体系建设主体责任，政府办乡村医疗卫生机构的基本建设和设备购置等发展建设支出由地方政府根据基层医疗卫生机构发展建设</w:t>
      </w:r>
      <w:r>
        <w:rPr>
          <w:rFonts w:ascii="方正仿宋_GBK" w:hAnsi="方正仿宋_GBK" w:cs="方正仿宋_GBK" w:hint="eastAsia"/>
          <w:szCs w:val="32"/>
        </w:rPr>
        <w:lastRenderedPageBreak/>
        <w:t>规划足额安排；人员经费和业务经费等运行成本通过服务收费和政府补助补偿，政府补助按照“核定任务、核定收支、绩效考核补助”的办法核定。有条件的地方可以对村卫生室给予运行补助。地方政府新增财力向乡村医疗卫生领域倾斜。</w:t>
      </w:r>
    </w:p>
    <w:p w:rsidR="007A1596" w:rsidRDefault="00DC4461">
      <w:pPr>
        <w:adjustRightInd w:val="0"/>
        <w:spacing w:line="600" w:lineRule="exact"/>
        <w:ind w:firstLineChars="200" w:firstLine="640"/>
        <w:rPr>
          <w:szCs w:val="32"/>
          <w:lang w:val="zh-CN"/>
        </w:rPr>
      </w:pPr>
      <w:r>
        <w:rPr>
          <w:rFonts w:eastAsia="方正楷体_GBK" w:hint="eastAsia"/>
          <w:kern w:val="32"/>
          <w:szCs w:val="32"/>
          <w:lang w:val="zh-CN"/>
        </w:rPr>
        <w:t>（三）</w:t>
      </w:r>
      <w:r>
        <w:rPr>
          <w:rFonts w:eastAsia="方正楷体_GBK" w:hint="eastAsia"/>
          <w:kern w:val="32"/>
          <w:szCs w:val="32"/>
        </w:rPr>
        <w:t>强化政策保障。</w:t>
      </w:r>
      <w:r>
        <w:rPr>
          <w:rFonts w:hint="eastAsia"/>
          <w:szCs w:val="32"/>
        </w:rPr>
        <w:t>各地、各部门要</w:t>
      </w:r>
      <w:r>
        <w:rPr>
          <w:kern w:val="32"/>
          <w:szCs w:val="32"/>
        </w:rPr>
        <w:t>根据各自职能，积极配合，履职尽责，统筹协调</w:t>
      </w:r>
      <w:r>
        <w:rPr>
          <w:rFonts w:hint="eastAsia"/>
          <w:kern w:val="32"/>
          <w:szCs w:val="32"/>
        </w:rPr>
        <w:t>，合力推进基层医疗卫生服务能力建设。对照国家、省建设标准，加快完善基础设施建设，配齐配全设施设备。在深入贯彻落实</w:t>
      </w:r>
      <w:r>
        <w:rPr>
          <w:rFonts w:eastAsia="仿宋" w:hAnsi="仿宋" w:cs="仿宋" w:hint="eastAsia"/>
          <w:szCs w:val="32"/>
        </w:rPr>
        <w:t>《南通市</w:t>
      </w:r>
      <w:r>
        <w:rPr>
          <w:rFonts w:hint="eastAsia"/>
          <w:szCs w:val="32"/>
        </w:rPr>
        <w:t>卫生人才强基工程实施方案（</w:t>
      </w:r>
      <w:r>
        <w:rPr>
          <w:rFonts w:hint="eastAsia"/>
          <w:szCs w:val="32"/>
        </w:rPr>
        <w:t>2019</w:t>
      </w:r>
      <w:r>
        <w:rPr>
          <w:rFonts w:hint="eastAsia"/>
          <w:szCs w:val="32"/>
        </w:rPr>
        <w:t>—</w:t>
      </w:r>
      <w:r>
        <w:rPr>
          <w:rFonts w:hint="eastAsia"/>
          <w:szCs w:val="32"/>
        </w:rPr>
        <w:t>2023</w:t>
      </w:r>
      <w:r>
        <w:rPr>
          <w:rFonts w:hint="eastAsia"/>
          <w:szCs w:val="32"/>
        </w:rPr>
        <w:t>年）》基础上，进一步优化人才招聘使用机制、绩效考核与分配机制，提高基层医务人员待遇和保障水平，解决“招不来、留不住”等实际问题。要建立符合基层医疗卫生发展实际的财政投入保障机制，建立医疗服务价格动态调整机制，动态完善</w:t>
      </w:r>
      <w:r>
        <w:rPr>
          <w:rFonts w:hint="eastAsia"/>
          <w:szCs w:val="32"/>
          <w:lang w:val="zh-CN"/>
        </w:rPr>
        <w:t>服务价格项目</w:t>
      </w:r>
      <w:r>
        <w:rPr>
          <w:rFonts w:hint="eastAsia"/>
          <w:szCs w:val="32"/>
        </w:rPr>
        <w:t>设立</w:t>
      </w:r>
      <w:r>
        <w:rPr>
          <w:rFonts w:hint="eastAsia"/>
          <w:szCs w:val="32"/>
          <w:lang w:val="zh-CN"/>
        </w:rPr>
        <w:t>。</w:t>
      </w:r>
    </w:p>
    <w:p w:rsidR="007A1596" w:rsidRDefault="00DC4461">
      <w:pPr>
        <w:adjustRightInd w:val="0"/>
        <w:spacing w:line="600" w:lineRule="exact"/>
        <w:ind w:firstLineChars="200" w:firstLine="640"/>
        <w:rPr>
          <w:szCs w:val="32"/>
          <w:lang w:val="zh-CN"/>
        </w:rPr>
      </w:pPr>
      <w:r>
        <w:rPr>
          <w:rFonts w:eastAsia="方正楷体_GBK" w:hint="eastAsia"/>
          <w:kern w:val="32"/>
          <w:szCs w:val="32"/>
        </w:rPr>
        <w:t>（四）优化医保服务。</w:t>
      </w:r>
      <w:r>
        <w:rPr>
          <w:rFonts w:ascii="方正仿宋_GBK" w:hAnsi="方正仿宋_GBK" w:cs="方正仿宋_GBK" w:hint="eastAsia"/>
          <w:szCs w:val="32"/>
        </w:rPr>
        <w:t>各地要统筹支持乡村医疗卫生机构发展，促进分级诊疗，合理提高医保基金对乡村医疗卫生机构的总额控制指标，年度新增医保基金重点向乡村医疗卫生机构倾斜，逐步提高县域内医保基金用于乡村医疗卫生机构的比例。加强农村地区医保经办管理服务和监督管理能力建设，探索将村级医保服务纳入农村网格化服务管理。加强基层医保基金监管能力建设，把医保基金监管纳入乡镇政府综合监管体系，持续加大对骗保套保等违法违规行为的打击力度。</w:t>
      </w:r>
    </w:p>
    <w:p w:rsidR="007A1596" w:rsidRDefault="00DC4461">
      <w:pPr>
        <w:widowControl/>
        <w:jc w:val="left"/>
        <w:rPr>
          <w:rFonts w:ascii="方正仿宋_GBK" w:hAnsi="方正仿宋_GBK" w:cs="方正仿宋_GBK"/>
          <w:sz w:val="31"/>
          <w:szCs w:val="31"/>
        </w:rPr>
      </w:pPr>
      <w:r>
        <w:rPr>
          <w:rFonts w:eastAsia="方正楷体_GBK" w:hint="eastAsia"/>
          <w:kern w:val="32"/>
          <w:szCs w:val="32"/>
        </w:rPr>
        <w:lastRenderedPageBreak/>
        <w:t>（五）严格考核评估。</w:t>
      </w:r>
      <w:r>
        <w:rPr>
          <w:rFonts w:ascii="方正仿宋_GBK" w:hAnsi="方正仿宋_GBK" w:cs="方正仿宋_GBK" w:hint="eastAsia"/>
          <w:szCs w:val="32"/>
        </w:rPr>
        <w:t>建立乡村医疗卫生体系健康发展督导评估机制，</w:t>
      </w:r>
      <w:r>
        <w:rPr>
          <w:rFonts w:hint="eastAsia"/>
          <w:szCs w:val="32"/>
        </w:rPr>
        <w:t>加大督导考核力度，</w:t>
      </w:r>
      <w:r>
        <w:rPr>
          <w:rFonts w:hint="eastAsia"/>
          <w:kern w:val="32"/>
          <w:szCs w:val="32"/>
        </w:rPr>
        <w:t>将各地基层医疗卫生服务能力建设</w:t>
      </w:r>
      <w:r>
        <w:rPr>
          <w:rFonts w:hint="eastAsia"/>
          <w:szCs w:val="32"/>
        </w:rPr>
        <w:t>作为一把手工程，纳入乡村振兴战略和深化医改工作等</w:t>
      </w:r>
      <w:r>
        <w:rPr>
          <w:rFonts w:hint="eastAsia"/>
          <w:kern w:val="32"/>
          <w:szCs w:val="32"/>
        </w:rPr>
        <w:t>考核范围</w:t>
      </w:r>
      <w:r>
        <w:rPr>
          <w:rFonts w:hint="eastAsia"/>
          <w:szCs w:val="32"/>
        </w:rPr>
        <w:t>，</w:t>
      </w:r>
      <w:r>
        <w:rPr>
          <w:rFonts w:hint="eastAsia"/>
          <w:kern w:val="32"/>
          <w:szCs w:val="32"/>
        </w:rPr>
        <w:t>完善“半年通报、年度考评”机制，将进展情况与各地考核结果挂钩。对工作不力，</w:t>
      </w:r>
      <w:r>
        <w:rPr>
          <w:rFonts w:hint="eastAsia"/>
          <w:szCs w:val="32"/>
        </w:rPr>
        <w:t>进展滞后的地区、部门或单位</w:t>
      </w:r>
      <w:r>
        <w:rPr>
          <w:rFonts w:hint="eastAsia"/>
          <w:kern w:val="32"/>
          <w:szCs w:val="32"/>
        </w:rPr>
        <w:t>视情况予以通报、领导约谈、取消年终评优资格等处理，</w:t>
      </w:r>
      <w:r>
        <w:rPr>
          <w:rFonts w:ascii="方正仿宋_GBK" w:hAnsi="方正仿宋_GBK" w:cs="方正仿宋_GBK" w:hint="eastAsia"/>
          <w:sz w:val="31"/>
          <w:szCs w:val="31"/>
        </w:rPr>
        <w:t>确保方案目标顺利实现。</w:t>
      </w:r>
    </w:p>
    <w:p w:rsidR="007A1596" w:rsidRDefault="00DC4461">
      <w:pPr>
        <w:widowControl/>
        <w:jc w:val="left"/>
        <w:rPr>
          <w:rFonts w:ascii="方正仿宋_GBK" w:hAnsi="方正仿宋_GBK" w:cs="方正仿宋_GBK"/>
          <w:szCs w:val="32"/>
        </w:rPr>
      </w:pPr>
      <w:r>
        <w:rPr>
          <w:rFonts w:eastAsia="方正楷体_GBK" w:hint="eastAsia"/>
          <w:kern w:val="32"/>
          <w:szCs w:val="32"/>
        </w:rPr>
        <w:t>（六）营造良好氛围。</w:t>
      </w:r>
      <w:r>
        <w:rPr>
          <w:rFonts w:ascii="方正仿宋_GBK" w:hAnsi="方正仿宋_GBK" w:cs="方正仿宋_GBK" w:hint="eastAsia"/>
          <w:szCs w:val="32"/>
        </w:rPr>
        <w:t>建立健全乡村医疗卫生人员荣誉表彰制度。各类人才项目、荣誉表彰、评奖评优向乡村医疗卫生人员倾斜。加大对乡村医疗卫生人员中先进事迹的宣传力度，在全社会形成尊重乡村医疗卫生人员、关心乡村医疗卫生工作的良好氛围。</w:t>
      </w:r>
    </w:p>
    <w:p w:rsidR="007A1596" w:rsidRDefault="00DC4461">
      <w:pPr>
        <w:widowControl/>
        <w:jc w:val="left"/>
        <w:rPr>
          <w:kern w:val="32"/>
          <w:szCs w:val="32"/>
        </w:rPr>
      </w:pPr>
      <w:r>
        <w:rPr>
          <w:rFonts w:hint="eastAsia"/>
          <w:kern w:val="32"/>
          <w:szCs w:val="32"/>
        </w:rPr>
        <w:t>附件：</w:t>
      </w:r>
      <w:r>
        <w:rPr>
          <w:spacing w:val="-6"/>
          <w:szCs w:val="32"/>
          <w:shd w:val="clear" w:color="auto" w:fill="FFFFFF"/>
        </w:rPr>
        <w:t>三年行动方案重点任务分解表</w:t>
      </w:r>
    </w:p>
    <w:p w:rsidR="007A1596" w:rsidRDefault="007A1596">
      <w:pPr>
        <w:widowControl/>
        <w:autoSpaceDE/>
        <w:autoSpaceDN/>
        <w:snapToGrid/>
        <w:spacing w:line="240" w:lineRule="auto"/>
        <w:ind w:firstLine="0"/>
        <w:jc w:val="left"/>
        <w:rPr>
          <w:kern w:val="32"/>
          <w:szCs w:val="32"/>
        </w:rPr>
        <w:sectPr w:rsidR="007A1596">
          <w:footerReference w:type="default" r:id="rId8"/>
          <w:pgSz w:w="11906" w:h="16838"/>
          <w:pgMar w:top="1814" w:right="1531" w:bottom="1985" w:left="1531" w:header="720" w:footer="1474" w:gutter="0"/>
          <w:cols w:space="0"/>
          <w:docGrid w:type="lines" w:linePitch="436"/>
        </w:sectPr>
      </w:pPr>
    </w:p>
    <w:tbl>
      <w:tblPr>
        <w:tblpPr w:leftFromText="180" w:rightFromText="180" w:vertAnchor="text" w:horzAnchor="margin" w:tblpY="1121"/>
        <w:tblOverlap w:val="never"/>
        <w:tblW w:w="14174" w:type="dxa"/>
        <w:tblLook w:val="04A0"/>
      </w:tblPr>
      <w:tblGrid>
        <w:gridCol w:w="883"/>
        <w:gridCol w:w="1493"/>
        <w:gridCol w:w="1418"/>
        <w:gridCol w:w="1559"/>
        <w:gridCol w:w="1276"/>
        <w:gridCol w:w="1276"/>
        <w:gridCol w:w="1275"/>
        <w:gridCol w:w="1418"/>
        <w:gridCol w:w="1134"/>
        <w:gridCol w:w="1276"/>
        <w:gridCol w:w="1166"/>
      </w:tblGrid>
      <w:tr w:rsidR="007A1596">
        <w:trPr>
          <w:trHeight w:val="1153"/>
        </w:trPr>
        <w:tc>
          <w:tcPr>
            <w:tcW w:w="883" w:type="dxa"/>
            <w:vMerge w:val="restart"/>
            <w:tcBorders>
              <w:top w:val="single" w:sz="4" w:space="0" w:color="000000"/>
              <w:left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sz w:val="22"/>
                <w:szCs w:val="22"/>
              </w:rPr>
            </w:pPr>
            <w:r>
              <w:rPr>
                <w:rFonts w:ascii="黑体" w:eastAsia="黑体" w:hAnsi="黑体" w:cs="黑体" w:hint="eastAsia"/>
                <w:snapToGrid/>
                <w:sz w:val="22"/>
                <w:szCs w:val="22"/>
              </w:rPr>
              <w:lastRenderedPageBreak/>
              <w:t>地区</w:t>
            </w:r>
          </w:p>
        </w:tc>
        <w:tc>
          <w:tcPr>
            <w:tcW w:w="4470" w:type="dxa"/>
            <w:gridSpan w:val="3"/>
            <w:tcBorders>
              <w:top w:val="single" w:sz="4" w:space="0" w:color="000000"/>
              <w:left w:val="single" w:sz="4" w:space="0" w:color="000000"/>
              <w:right w:val="single" w:sz="4" w:space="0" w:color="000000"/>
            </w:tcBorders>
            <w:noWrap/>
            <w:vAlign w:val="center"/>
          </w:tcPr>
          <w:p w:rsidR="007A1596" w:rsidRDefault="00DC4461">
            <w:pPr>
              <w:widowControl/>
              <w:autoSpaceDE/>
              <w:autoSpaceDN/>
              <w:snapToGrid/>
              <w:spacing w:line="360" w:lineRule="exact"/>
              <w:ind w:firstLine="0"/>
              <w:jc w:val="center"/>
              <w:textAlignment w:val="center"/>
              <w:rPr>
                <w:rFonts w:ascii="黑体" w:eastAsia="黑体" w:hAnsi="黑体"/>
                <w:sz w:val="22"/>
                <w:szCs w:val="22"/>
              </w:rPr>
            </w:pPr>
            <w:r>
              <w:rPr>
                <w:rFonts w:ascii="黑体" w:eastAsia="黑体" w:hAnsi="黑体" w:cs="黑体" w:hint="eastAsia"/>
                <w:snapToGrid/>
                <w:sz w:val="22"/>
                <w:szCs w:val="22"/>
              </w:rPr>
              <w:t>新增社区医院数（家）</w:t>
            </w:r>
          </w:p>
        </w:tc>
        <w:tc>
          <w:tcPr>
            <w:tcW w:w="5245" w:type="dxa"/>
            <w:gridSpan w:val="4"/>
            <w:tcBorders>
              <w:top w:val="single" w:sz="4" w:space="0" w:color="000000"/>
              <w:left w:val="single" w:sz="4" w:space="0" w:color="000000"/>
              <w:right w:val="single" w:sz="4" w:space="0" w:color="000000"/>
            </w:tcBorders>
            <w:vAlign w:val="center"/>
          </w:tcPr>
          <w:p w:rsidR="007A1596" w:rsidRDefault="00DC4461">
            <w:pPr>
              <w:widowControl/>
              <w:autoSpaceDE/>
              <w:autoSpaceDN/>
              <w:snapToGrid/>
              <w:spacing w:line="360" w:lineRule="exact"/>
              <w:ind w:firstLine="0"/>
              <w:jc w:val="center"/>
              <w:textAlignment w:val="center"/>
              <w:rPr>
                <w:rFonts w:ascii="黑体" w:eastAsia="黑体" w:hAnsi="黑体"/>
                <w:sz w:val="22"/>
                <w:szCs w:val="22"/>
              </w:rPr>
            </w:pPr>
            <w:r>
              <w:rPr>
                <w:rFonts w:ascii="黑体" w:eastAsia="黑体" w:hAnsi="黑体" w:hint="eastAsia"/>
                <w:sz w:val="22"/>
                <w:szCs w:val="22"/>
              </w:rPr>
              <w:t>农村区域性医疗卫生中心十大功能中心</w:t>
            </w:r>
          </w:p>
          <w:p w:rsidR="007A1596" w:rsidRDefault="00DC4461">
            <w:pPr>
              <w:widowControl/>
              <w:autoSpaceDE/>
              <w:autoSpaceDN/>
              <w:snapToGrid/>
              <w:spacing w:line="360" w:lineRule="exact"/>
              <w:ind w:firstLine="0"/>
              <w:jc w:val="center"/>
              <w:textAlignment w:val="center"/>
              <w:rPr>
                <w:rFonts w:ascii="黑体" w:eastAsia="黑体" w:hAnsi="黑体" w:cs="黑体"/>
                <w:snapToGrid/>
                <w:sz w:val="22"/>
                <w:szCs w:val="22"/>
              </w:rPr>
            </w:pPr>
            <w:r>
              <w:rPr>
                <w:rFonts w:ascii="黑体" w:eastAsia="黑体" w:hAnsi="黑体" w:hint="eastAsia"/>
                <w:sz w:val="22"/>
                <w:szCs w:val="22"/>
              </w:rPr>
              <w:t>（选建中心除外）建成数量（个）</w:t>
            </w:r>
          </w:p>
        </w:tc>
        <w:tc>
          <w:tcPr>
            <w:tcW w:w="3576" w:type="dxa"/>
            <w:gridSpan w:val="3"/>
            <w:tcBorders>
              <w:top w:val="single" w:sz="4" w:space="0" w:color="000000"/>
              <w:left w:val="single" w:sz="4" w:space="0" w:color="000000"/>
              <w:right w:val="single" w:sz="4" w:space="0" w:color="000000"/>
            </w:tcBorders>
            <w:noWrap/>
            <w:vAlign w:val="center"/>
          </w:tcPr>
          <w:p w:rsidR="007A1596" w:rsidRDefault="00DC4461">
            <w:pPr>
              <w:widowControl/>
              <w:autoSpaceDE/>
              <w:autoSpaceDN/>
              <w:snapToGrid/>
              <w:spacing w:line="360" w:lineRule="exact"/>
              <w:ind w:firstLine="0"/>
              <w:jc w:val="center"/>
              <w:textAlignment w:val="center"/>
              <w:rPr>
                <w:rFonts w:ascii="黑体" w:eastAsia="黑体" w:hAnsi="黑体" w:cs="黑体"/>
                <w:snapToGrid/>
                <w:kern w:val="2"/>
                <w:sz w:val="22"/>
                <w:szCs w:val="22"/>
              </w:rPr>
            </w:pPr>
            <w:r>
              <w:rPr>
                <w:rFonts w:ascii="黑体" w:eastAsia="黑体" w:hAnsi="黑体" w:cs="黑体" w:hint="eastAsia"/>
                <w:snapToGrid/>
                <w:sz w:val="22"/>
                <w:szCs w:val="22"/>
              </w:rPr>
              <w:t>新增“优质服务基层行”国家推荐标准医疗机构数（家）</w:t>
            </w:r>
          </w:p>
        </w:tc>
      </w:tr>
      <w:tr w:rsidR="007A1596">
        <w:trPr>
          <w:trHeight w:val="430"/>
        </w:trPr>
        <w:tc>
          <w:tcPr>
            <w:tcW w:w="883" w:type="dxa"/>
            <w:vMerge/>
            <w:tcBorders>
              <w:left w:val="single" w:sz="4" w:space="0" w:color="000000"/>
              <w:bottom w:val="single" w:sz="4" w:space="0" w:color="000000"/>
              <w:right w:val="single" w:sz="4" w:space="0" w:color="000000"/>
            </w:tcBorders>
            <w:vAlign w:val="center"/>
          </w:tcPr>
          <w:p w:rsidR="007A1596" w:rsidRDefault="007A1596">
            <w:pPr>
              <w:autoSpaceDE/>
              <w:autoSpaceDN/>
              <w:snapToGrid/>
              <w:spacing w:line="240" w:lineRule="auto"/>
              <w:ind w:firstLine="0"/>
              <w:jc w:val="center"/>
              <w:rPr>
                <w:rFonts w:ascii="黑体" w:eastAsia="黑体" w:hAnsi="黑体" w:cs="黑体"/>
                <w:snapToGrid/>
                <w:kern w:val="2"/>
                <w:sz w:val="22"/>
                <w:szCs w:val="22"/>
              </w:rPr>
            </w:pPr>
          </w:p>
        </w:tc>
        <w:tc>
          <w:tcPr>
            <w:tcW w:w="1493"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autoSpaceDE/>
              <w:autoSpaceDN/>
              <w:snapToGrid/>
              <w:spacing w:line="240" w:lineRule="auto"/>
              <w:ind w:firstLine="0"/>
              <w:jc w:val="center"/>
              <w:rPr>
                <w:rFonts w:ascii="黑体" w:eastAsia="黑体" w:hAnsi="黑体" w:cs="黑体"/>
                <w:snapToGrid/>
                <w:kern w:val="2"/>
                <w:sz w:val="22"/>
                <w:szCs w:val="22"/>
              </w:rPr>
            </w:pPr>
            <w:r>
              <w:rPr>
                <w:rFonts w:ascii="黑体" w:eastAsia="黑体" w:hAnsi="黑体" w:cs="黑体" w:hint="eastAsia"/>
                <w:snapToGrid/>
                <w:sz w:val="22"/>
                <w:szCs w:val="22"/>
              </w:rPr>
              <w:t>2023年</w:t>
            </w:r>
          </w:p>
        </w:tc>
        <w:tc>
          <w:tcPr>
            <w:tcW w:w="1418" w:type="dxa"/>
            <w:tcBorders>
              <w:top w:val="single" w:sz="4" w:space="0" w:color="000000"/>
              <w:left w:val="single" w:sz="4" w:space="0" w:color="000000"/>
              <w:bottom w:val="single" w:sz="4" w:space="0" w:color="000000"/>
              <w:right w:val="single" w:sz="4" w:space="0" w:color="000000"/>
            </w:tcBorders>
            <w:vAlign w:val="center"/>
          </w:tcPr>
          <w:p w:rsidR="007A1596" w:rsidRDefault="00DC4461">
            <w:pPr>
              <w:autoSpaceDE/>
              <w:autoSpaceDN/>
              <w:snapToGrid/>
              <w:spacing w:line="240" w:lineRule="auto"/>
              <w:ind w:firstLine="0"/>
              <w:jc w:val="center"/>
              <w:rPr>
                <w:rFonts w:ascii="黑体" w:eastAsia="黑体" w:hAnsi="黑体" w:cs="黑体"/>
                <w:snapToGrid/>
                <w:kern w:val="2"/>
                <w:sz w:val="22"/>
                <w:szCs w:val="22"/>
              </w:rPr>
            </w:pPr>
            <w:r>
              <w:rPr>
                <w:rFonts w:ascii="黑体" w:eastAsia="黑体" w:hAnsi="黑体" w:cs="黑体" w:hint="eastAsia"/>
                <w:snapToGrid/>
                <w:sz w:val="22"/>
                <w:szCs w:val="22"/>
              </w:rPr>
              <w:t>2024年</w:t>
            </w:r>
          </w:p>
        </w:tc>
        <w:tc>
          <w:tcPr>
            <w:tcW w:w="1559" w:type="dxa"/>
            <w:tcBorders>
              <w:top w:val="single" w:sz="4" w:space="0" w:color="000000"/>
              <w:left w:val="single" w:sz="4" w:space="0" w:color="000000"/>
              <w:bottom w:val="single" w:sz="4" w:space="0" w:color="000000"/>
              <w:right w:val="single" w:sz="4" w:space="0" w:color="000000"/>
            </w:tcBorders>
            <w:vAlign w:val="center"/>
          </w:tcPr>
          <w:p w:rsidR="007A1596" w:rsidRDefault="00DC4461">
            <w:pPr>
              <w:autoSpaceDE/>
              <w:autoSpaceDN/>
              <w:snapToGrid/>
              <w:spacing w:line="240" w:lineRule="auto"/>
              <w:ind w:firstLine="0"/>
              <w:jc w:val="center"/>
              <w:rPr>
                <w:rFonts w:ascii="黑体" w:eastAsia="黑体" w:hAnsi="黑体" w:cs="黑体"/>
                <w:snapToGrid/>
                <w:kern w:val="2"/>
                <w:sz w:val="22"/>
                <w:szCs w:val="22"/>
              </w:rPr>
            </w:pPr>
            <w:r>
              <w:rPr>
                <w:rFonts w:ascii="黑体" w:eastAsia="黑体" w:hAnsi="黑体" w:cs="黑体" w:hint="eastAsia"/>
                <w:snapToGrid/>
                <w:sz w:val="22"/>
                <w:szCs w:val="22"/>
              </w:rPr>
              <w:t>2025年</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sz w:val="22"/>
                <w:szCs w:val="22"/>
              </w:rPr>
              <w:t>2023年</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sz w:val="22"/>
                <w:szCs w:val="22"/>
              </w:rPr>
              <w:t>2024年</w:t>
            </w:r>
          </w:p>
        </w:tc>
        <w:tc>
          <w:tcPr>
            <w:tcW w:w="1275"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sz w:val="22"/>
                <w:szCs w:val="22"/>
              </w:rPr>
              <w:t>2025年</w:t>
            </w:r>
          </w:p>
        </w:tc>
        <w:tc>
          <w:tcPr>
            <w:tcW w:w="1418" w:type="dxa"/>
            <w:tcBorders>
              <w:top w:val="single" w:sz="4" w:space="0" w:color="000000"/>
              <w:left w:val="single" w:sz="4" w:space="0" w:color="000000"/>
              <w:bottom w:val="single" w:sz="4" w:space="0" w:color="000000"/>
              <w:right w:val="single" w:sz="4" w:space="0" w:color="000000"/>
            </w:tcBorders>
          </w:tcPr>
          <w:p w:rsidR="007A1596" w:rsidRDefault="00DC4461">
            <w:pPr>
              <w:widowControl/>
              <w:autoSpaceDE/>
              <w:autoSpaceDN/>
              <w:snapToGrid/>
              <w:spacing w:line="240" w:lineRule="auto"/>
              <w:ind w:firstLine="0"/>
              <w:jc w:val="center"/>
              <w:textAlignment w:val="center"/>
              <w:rPr>
                <w:rFonts w:ascii="黑体" w:eastAsia="黑体" w:hAnsi="黑体" w:cs="黑体"/>
                <w:snapToGrid/>
                <w:sz w:val="22"/>
                <w:szCs w:val="22"/>
              </w:rPr>
            </w:pPr>
            <w:r>
              <w:rPr>
                <w:rFonts w:ascii="黑体" w:eastAsia="黑体" w:hAnsi="黑体" w:cs="黑体" w:hint="eastAsia"/>
                <w:snapToGrid/>
                <w:sz w:val="22"/>
                <w:szCs w:val="22"/>
              </w:rPr>
              <w:t>合计</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sz w:val="22"/>
                <w:szCs w:val="22"/>
              </w:rPr>
              <w:t>2023年</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sz w:val="22"/>
                <w:szCs w:val="22"/>
              </w:rPr>
              <w:t>2024年</w:t>
            </w:r>
          </w:p>
        </w:tc>
        <w:tc>
          <w:tcPr>
            <w:tcW w:w="116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sz w:val="22"/>
                <w:szCs w:val="22"/>
              </w:rPr>
              <w:t>2025年</w:t>
            </w:r>
          </w:p>
        </w:tc>
      </w:tr>
      <w:tr w:rsidR="007A1596">
        <w:trPr>
          <w:trHeight w:val="430"/>
        </w:trPr>
        <w:tc>
          <w:tcPr>
            <w:tcW w:w="883"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sz w:val="22"/>
                <w:szCs w:val="22"/>
              </w:rPr>
            </w:pPr>
            <w:r>
              <w:rPr>
                <w:rFonts w:ascii="黑体" w:eastAsia="黑体" w:hAnsi="黑体" w:cs="黑体" w:hint="eastAsia"/>
                <w:snapToGrid/>
                <w:sz w:val="22"/>
                <w:szCs w:val="22"/>
              </w:rPr>
              <w:t>海安</w:t>
            </w:r>
          </w:p>
        </w:tc>
        <w:tc>
          <w:tcPr>
            <w:tcW w:w="1493"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11</w:t>
            </w:r>
          </w:p>
        </w:tc>
        <w:tc>
          <w:tcPr>
            <w:tcW w:w="1275"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12</w:t>
            </w:r>
          </w:p>
        </w:tc>
        <w:tc>
          <w:tcPr>
            <w:tcW w:w="1418" w:type="dxa"/>
            <w:tcBorders>
              <w:top w:val="single" w:sz="4" w:space="0" w:color="000000"/>
              <w:left w:val="single" w:sz="4" w:space="0" w:color="000000"/>
              <w:bottom w:val="single" w:sz="4" w:space="0" w:color="000000"/>
              <w:right w:val="single" w:sz="4" w:space="0" w:color="000000"/>
            </w:tcBorders>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32</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6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r>
      <w:tr w:rsidR="007A1596">
        <w:trPr>
          <w:trHeight w:val="430"/>
        </w:trPr>
        <w:tc>
          <w:tcPr>
            <w:tcW w:w="883"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sz w:val="22"/>
                <w:szCs w:val="22"/>
              </w:rPr>
            </w:pPr>
            <w:r>
              <w:rPr>
                <w:rFonts w:ascii="黑体" w:eastAsia="黑体" w:hAnsi="黑体" w:cs="黑体" w:hint="eastAsia"/>
                <w:snapToGrid/>
                <w:sz w:val="22"/>
                <w:szCs w:val="22"/>
              </w:rPr>
              <w:t>如皋</w:t>
            </w:r>
          </w:p>
        </w:tc>
        <w:tc>
          <w:tcPr>
            <w:tcW w:w="1493"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12</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12</w:t>
            </w:r>
          </w:p>
        </w:tc>
        <w:tc>
          <w:tcPr>
            <w:tcW w:w="1275"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16</w:t>
            </w:r>
          </w:p>
        </w:tc>
        <w:tc>
          <w:tcPr>
            <w:tcW w:w="1418" w:type="dxa"/>
            <w:tcBorders>
              <w:top w:val="single" w:sz="4" w:space="0" w:color="000000"/>
              <w:left w:val="single" w:sz="4" w:space="0" w:color="000000"/>
              <w:bottom w:val="single" w:sz="4" w:space="0" w:color="000000"/>
              <w:right w:val="single" w:sz="4" w:space="0" w:color="000000"/>
            </w:tcBorders>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40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6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0</w:t>
            </w:r>
          </w:p>
        </w:tc>
      </w:tr>
      <w:tr w:rsidR="007A1596">
        <w:trPr>
          <w:trHeight w:val="430"/>
        </w:trPr>
        <w:tc>
          <w:tcPr>
            <w:tcW w:w="883"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sz w:val="22"/>
                <w:szCs w:val="22"/>
              </w:rPr>
            </w:pPr>
            <w:r>
              <w:rPr>
                <w:rFonts w:ascii="黑体" w:eastAsia="黑体" w:hAnsi="黑体" w:cs="黑体" w:hint="eastAsia"/>
                <w:snapToGrid/>
                <w:sz w:val="22"/>
                <w:szCs w:val="22"/>
              </w:rPr>
              <w:t>如东</w:t>
            </w:r>
          </w:p>
        </w:tc>
        <w:tc>
          <w:tcPr>
            <w:tcW w:w="1493"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12</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12</w:t>
            </w:r>
          </w:p>
        </w:tc>
        <w:tc>
          <w:tcPr>
            <w:tcW w:w="1275"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16</w:t>
            </w:r>
          </w:p>
        </w:tc>
        <w:tc>
          <w:tcPr>
            <w:tcW w:w="1418" w:type="dxa"/>
            <w:tcBorders>
              <w:top w:val="single" w:sz="4" w:space="0" w:color="000000"/>
              <w:left w:val="single" w:sz="4" w:space="0" w:color="000000"/>
              <w:bottom w:val="single" w:sz="4" w:space="0" w:color="000000"/>
              <w:right w:val="single" w:sz="4" w:space="0" w:color="000000"/>
            </w:tcBorders>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40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16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r>
      <w:tr w:rsidR="007A1596">
        <w:trPr>
          <w:trHeight w:val="430"/>
        </w:trPr>
        <w:tc>
          <w:tcPr>
            <w:tcW w:w="883"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sz w:val="22"/>
                <w:szCs w:val="22"/>
              </w:rPr>
            </w:pPr>
            <w:r>
              <w:rPr>
                <w:rFonts w:ascii="黑体" w:eastAsia="黑体" w:hAnsi="黑体" w:cs="黑体" w:hint="eastAsia"/>
                <w:snapToGrid/>
                <w:sz w:val="22"/>
                <w:szCs w:val="22"/>
              </w:rPr>
              <w:t>启东</w:t>
            </w:r>
          </w:p>
        </w:tc>
        <w:tc>
          <w:tcPr>
            <w:tcW w:w="1493"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12</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12</w:t>
            </w:r>
          </w:p>
        </w:tc>
        <w:tc>
          <w:tcPr>
            <w:tcW w:w="1275"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16</w:t>
            </w:r>
          </w:p>
        </w:tc>
        <w:tc>
          <w:tcPr>
            <w:tcW w:w="1418" w:type="dxa"/>
            <w:tcBorders>
              <w:top w:val="single" w:sz="4" w:space="0" w:color="000000"/>
              <w:left w:val="single" w:sz="4" w:space="0" w:color="000000"/>
              <w:bottom w:val="single" w:sz="4" w:space="0" w:color="000000"/>
              <w:right w:val="single" w:sz="4" w:space="0" w:color="000000"/>
            </w:tcBorders>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40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6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0</w:t>
            </w:r>
          </w:p>
        </w:tc>
      </w:tr>
      <w:tr w:rsidR="007A1596">
        <w:trPr>
          <w:trHeight w:val="430"/>
        </w:trPr>
        <w:tc>
          <w:tcPr>
            <w:tcW w:w="883"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sz w:val="22"/>
                <w:szCs w:val="22"/>
              </w:rPr>
            </w:pPr>
            <w:r>
              <w:rPr>
                <w:rFonts w:ascii="黑体" w:eastAsia="黑体" w:hAnsi="黑体" w:cs="黑体" w:hint="eastAsia"/>
                <w:snapToGrid/>
                <w:sz w:val="22"/>
                <w:szCs w:val="22"/>
              </w:rPr>
              <w:t>通州</w:t>
            </w:r>
          </w:p>
        </w:tc>
        <w:tc>
          <w:tcPr>
            <w:tcW w:w="1493"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11</w:t>
            </w:r>
          </w:p>
        </w:tc>
        <w:tc>
          <w:tcPr>
            <w:tcW w:w="1275"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12</w:t>
            </w:r>
          </w:p>
        </w:tc>
        <w:tc>
          <w:tcPr>
            <w:tcW w:w="1418" w:type="dxa"/>
            <w:tcBorders>
              <w:top w:val="single" w:sz="4" w:space="0" w:color="000000"/>
              <w:left w:val="single" w:sz="4" w:space="0" w:color="000000"/>
              <w:bottom w:val="single" w:sz="4" w:space="0" w:color="000000"/>
              <w:right w:val="single" w:sz="4" w:space="0" w:color="000000"/>
            </w:tcBorders>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32</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16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2</w:t>
            </w:r>
          </w:p>
        </w:tc>
      </w:tr>
      <w:tr w:rsidR="007A1596">
        <w:trPr>
          <w:trHeight w:val="430"/>
        </w:trPr>
        <w:tc>
          <w:tcPr>
            <w:tcW w:w="883"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sz w:val="22"/>
                <w:szCs w:val="22"/>
              </w:rPr>
            </w:pPr>
            <w:r>
              <w:rPr>
                <w:rFonts w:ascii="黑体" w:eastAsia="黑体" w:hAnsi="黑体" w:cs="黑体" w:hint="eastAsia"/>
                <w:snapToGrid/>
                <w:sz w:val="22"/>
                <w:szCs w:val="22"/>
              </w:rPr>
              <w:t>海门</w:t>
            </w:r>
          </w:p>
        </w:tc>
        <w:tc>
          <w:tcPr>
            <w:tcW w:w="1493"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11</w:t>
            </w:r>
          </w:p>
        </w:tc>
        <w:tc>
          <w:tcPr>
            <w:tcW w:w="1275"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12</w:t>
            </w:r>
          </w:p>
        </w:tc>
        <w:tc>
          <w:tcPr>
            <w:tcW w:w="1418" w:type="dxa"/>
            <w:tcBorders>
              <w:top w:val="single" w:sz="4" w:space="0" w:color="000000"/>
              <w:left w:val="single" w:sz="4" w:space="0" w:color="000000"/>
              <w:bottom w:val="single" w:sz="4" w:space="0" w:color="000000"/>
              <w:right w:val="single" w:sz="4" w:space="0" w:color="000000"/>
            </w:tcBorders>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32</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16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r>
      <w:tr w:rsidR="007A1596">
        <w:trPr>
          <w:trHeight w:val="430"/>
        </w:trPr>
        <w:tc>
          <w:tcPr>
            <w:tcW w:w="883"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sz w:val="22"/>
                <w:szCs w:val="22"/>
              </w:rPr>
            </w:pPr>
            <w:r>
              <w:rPr>
                <w:rFonts w:ascii="黑体" w:eastAsia="黑体" w:hAnsi="黑体" w:cs="黑体" w:hint="eastAsia"/>
                <w:snapToGrid/>
                <w:sz w:val="22"/>
                <w:szCs w:val="22"/>
              </w:rPr>
              <w:t>崇川</w:t>
            </w:r>
          </w:p>
        </w:tc>
        <w:tc>
          <w:tcPr>
            <w:tcW w:w="1493"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kern w:val="2"/>
                <w:sz w:val="22"/>
                <w:szCs w:val="22"/>
              </w:rPr>
              <w:t>-</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2</w:t>
            </w:r>
          </w:p>
        </w:tc>
        <w:tc>
          <w:tcPr>
            <w:tcW w:w="116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3</w:t>
            </w:r>
          </w:p>
        </w:tc>
      </w:tr>
      <w:tr w:rsidR="007A1596">
        <w:trPr>
          <w:trHeight w:val="430"/>
        </w:trPr>
        <w:tc>
          <w:tcPr>
            <w:tcW w:w="883"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sz w:val="22"/>
                <w:szCs w:val="22"/>
              </w:rPr>
            </w:pPr>
            <w:r>
              <w:rPr>
                <w:rFonts w:ascii="黑体" w:eastAsia="黑体" w:hAnsi="黑体" w:cs="黑体" w:hint="eastAsia"/>
                <w:snapToGrid/>
                <w:sz w:val="22"/>
                <w:szCs w:val="22"/>
              </w:rPr>
              <w:t>开发区</w:t>
            </w:r>
          </w:p>
        </w:tc>
        <w:tc>
          <w:tcPr>
            <w:tcW w:w="1493"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kern w:val="2"/>
                <w:sz w:val="22"/>
                <w:szCs w:val="22"/>
              </w:rPr>
              <w:t>-</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6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r>
      <w:tr w:rsidR="007A1596">
        <w:trPr>
          <w:trHeight w:val="430"/>
        </w:trPr>
        <w:tc>
          <w:tcPr>
            <w:tcW w:w="883"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sz w:val="22"/>
                <w:szCs w:val="22"/>
              </w:rPr>
            </w:pPr>
            <w:r>
              <w:rPr>
                <w:rFonts w:ascii="黑体" w:eastAsia="黑体" w:hAnsi="黑体" w:cs="黑体" w:hint="eastAsia"/>
                <w:snapToGrid/>
                <w:sz w:val="22"/>
                <w:szCs w:val="22"/>
              </w:rPr>
              <w:t>通州湾</w:t>
            </w:r>
          </w:p>
        </w:tc>
        <w:tc>
          <w:tcPr>
            <w:tcW w:w="1493"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3</w:t>
            </w:r>
          </w:p>
        </w:tc>
        <w:tc>
          <w:tcPr>
            <w:tcW w:w="1418" w:type="dxa"/>
            <w:tcBorders>
              <w:top w:val="single" w:sz="4" w:space="0" w:color="000000"/>
              <w:left w:val="single" w:sz="4" w:space="0" w:color="000000"/>
              <w:bottom w:val="single" w:sz="4" w:space="0" w:color="000000"/>
              <w:right w:val="single" w:sz="4" w:space="0" w:color="000000"/>
            </w:tcBorders>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8</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16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r>
      <w:tr w:rsidR="007A1596">
        <w:trPr>
          <w:trHeight w:val="430"/>
        </w:trPr>
        <w:tc>
          <w:tcPr>
            <w:tcW w:w="883"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sz w:val="22"/>
                <w:szCs w:val="22"/>
              </w:rPr>
            </w:pPr>
            <w:r>
              <w:rPr>
                <w:rFonts w:ascii="黑体" w:eastAsia="黑体" w:hAnsi="黑体" w:cs="黑体" w:hint="eastAsia"/>
                <w:snapToGrid/>
                <w:sz w:val="22"/>
                <w:szCs w:val="22"/>
              </w:rPr>
              <w:t>苏锡通</w:t>
            </w:r>
          </w:p>
        </w:tc>
        <w:tc>
          <w:tcPr>
            <w:tcW w:w="1493"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3</w:t>
            </w:r>
          </w:p>
        </w:tc>
        <w:tc>
          <w:tcPr>
            <w:tcW w:w="1418" w:type="dxa"/>
            <w:tcBorders>
              <w:top w:val="single" w:sz="4" w:space="0" w:color="000000"/>
              <w:left w:val="single" w:sz="4" w:space="0" w:color="000000"/>
              <w:bottom w:val="single" w:sz="4" w:space="0" w:color="000000"/>
              <w:right w:val="single" w:sz="4" w:space="0" w:color="000000"/>
            </w:tcBorders>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8</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6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w:t>
            </w:r>
          </w:p>
        </w:tc>
      </w:tr>
      <w:tr w:rsidR="007A1596">
        <w:trPr>
          <w:trHeight w:val="444"/>
        </w:trPr>
        <w:tc>
          <w:tcPr>
            <w:tcW w:w="883"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sz w:val="22"/>
                <w:szCs w:val="22"/>
              </w:rPr>
            </w:pPr>
            <w:r>
              <w:rPr>
                <w:rFonts w:ascii="黑体" w:eastAsia="黑体" w:hAnsi="黑体" w:cs="黑体" w:hint="eastAsia"/>
                <w:snapToGrid/>
                <w:sz w:val="22"/>
                <w:szCs w:val="22"/>
              </w:rPr>
              <w:t>合计</w:t>
            </w:r>
          </w:p>
        </w:tc>
        <w:tc>
          <w:tcPr>
            <w:tcW w:w="1493"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6</w:t>
            </w:r>
          </w:p>
        </w:tc>
        <w:tc>
          <w:tcPr>
            <w:tcW w:w="1418"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8</w:t>
            </w:r>
          </w:p>
        </w:tc>
        <w:tc>
          <w:tcPr>
            <w:tcW w:w="1559"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67</w:t>
            </w:r>
          </w:p>
        </w:tc>
        <w:tc>
          <w:tcPr>
            <w:tcW w:w="1276"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75</w:t>
            </w:r>
          </w:p>
        </w:tc>
        <w:tc>
          <w:tcPr>
            <w:tcW w:w="1275" w:type="dxa"/>
            <w:tcBorders>
              <w:top w:val="single" w:sz="4" w:space="0" w:color="000000"/>
              <w:left w:val="single" w:sz="4" w:space="0" w:color="000000"/>
              <w:bottom w:val="single" w:sz="4" w:space="0" w:color="000000"/>
              <w:right w:val="single" w:sz="4" w:space="0" w:color="000000"/>
            </w:tcBorders>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90</w:t>
            </w:r>
          </w:p>
        </w:tc>
        <w:tc>
          <w:tcPr>
            <w:tcW w:w="1418" w:type="dxa"/>
            <w:tcBorders>
              <w:top w:val="single" w:sz="4" w:space="0" w:color="000000"/>
              <w:left w:val="single" w:sz="4" w:space="0" w:color="000000"/>
              <w:bottom w:val="single" w:sz="4" w:space="0" w:color="000000"/>
              <w:right w:val="single" w:sz="4" w:space="0" w:color="000000"/>
            </w:tcBorders>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232</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6</w:t>
            </w:r>
          </w:p>
        </w:tc>
        <w:tc>
          <w:tcPr>
            <w:tcW w:w="1166"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sz w:val="22"/>
                <w:szCs w:val="22"/>
              </w:rPr>
            </w:pPr>
            <w:r>
              <w:rPr>
                <w:rFonts w:ascii="宋体" w:eastAsia="宋体" w:hAnsi="宋体" w:cs="宋体" w:hint="eastAsia"/>
                <w:snapToGrid/>
                <w:sz w:val="22"/>
                <w:szCs w:val="22"/>
              </w:rPr>
              <w:t>11</w:t>
            </w:r>
          </w:p>
        </w:tc>
      </w:tr>
    </w:tbl>
    <w:p w:rsidR="007A1596" w:rsidRPr="00985107" w:rsidRDefault="00DC4461">
      <w:pPr>
        <w:autoSpaceDE/>
        <w:autoSpaceDN/>
        <w:snapToGrid/>
        <w:spacing w:line="240" w:lineRule="auto"/>
        <w:ind w:firstLine="0"/>
        <w:jc w:val="center"/>
        <w:rPr>
          <w:rFonts w:ascii="方正小标宋_GBK" w:eastAsia="方正小标宋_GBK" w:hAnsi="方正小标宋_GBK" w:cs="方正小标宋_GBK"/>
          <w:snapToGrid/>
          <w:kern w:val="2"/>
          <w:sz w:val="44"/>
          <w:szCs w:val="44"/>
        </w:rPr>
      </w:pPr>
      <w:r w:rsidRPr="00985107">
        <w:rPr>
          <w:rFonts w:ascii="方正小标宋_GBK" w:eastAsia="方正小标宋_GBK" w:hAnsi="方正小标宋_GBK" w:cs="方正小标宋_GBK" w:hint="eastAsia"/>
          <w:snapToGrid/>
          <w:kern w:val="2"/>
          <w:sz w:val="44"/>
          <w:szCs w:val="44"/>
        </w:rPr>
        <w:t>三年行动方案重点任务分解表（一）</w:t>
      </w:r>
    </w:p>
    <w:p w:rsidR="007A1596" w:rsidRDefault="00DC4461">
      <w:pPr>
        <w:autoSpaceDE/>
        <w:autoSpaceDN/>
        <w:snapToGrid/>
        <w:spacing w:line="240" w:lineRule="auto"/>
        <w:ind w:firstLine="0"/>
        <w:jc w:val="center"/>
        <w:rPr>
          <w:rFonts w:ascii="方正小标宋_GBK" w:eastAsia="方正小标宋_GBK" w:hAnsi="方正小标宋_GBK" w:cs="方正小标宋_GBK"/>
          <w:snapToGrid/>
          <w:kern w:val="2"/>
          <w:sz w:val="44"/>
          <w:szCs w:val="44"/>
        </w:rPr>
      </w:pPr>
      <w:r>
        <w:rPr>
          <w:rFonts w:ascii="方正小标宋_GBK" w:eastAsia="方正小标宋_GBK" w:hAnsi="方正小标宋_GBK" w:cs="方正小标宋_GBK" w:hint="eastAsia"/>
          <w:snapToGrid/>
          <w:kern w:val="2"/>
          <w:sz w:val="44"/>
          <w:szCs w:val="44"/>
        </w:rPr>
        <w:lastRenderedPageBreak/>
        <w:t>三年行动方案重点任务分解表（二）</w:t>
      </w:r>
    </w:p>
    <w:tbl>
      <w:tblPr>
        <w:tblW w:w="13756" w:type="dxa"/>
        <w:tblInd w:w="91" w:type="dxa"/>
        <w:tblLayout w:type="fixed"/>
        <w:tblLook w:val="04A0"/>
      </w:tblPr>
      <w:tblGrid>
        <w:gridCol w:w="2248"/>
        <w:gridCol w:w="1278"/>
        <w:gridCol w:w="1278"/>
        <w:gridCol w:w="1280"/>
        <w:gridCol w:w="1278"/>
        <w:gridCol w:w="1278"/>
        <w:gridCol w:w="1280"/>
        <w:gridCol w:w="1278"/>
        <w:gridCol w:w="1278"/>
        <w:gridCol w:w="1280"/>
      </w:tblGrid>
      <w:tr w:rsidR="007A1596">
        <w:trPr>
          <w:trHeight w:val="811"/>
        </w:trPr>
        <w:tc>
          <w:tcPr>
            <w:tcW w:w="2248" w:type="dxa"/>
            <w:vMerge w:val="restart"/>
            <w:tcBorders>
              <w:top w:val="single" w:sz="4" w:space="0" w:color="000000"/>
              <w:left w:val="single" w:sz="4" w:space="0" w:color="000000"/>
              <w:right w:val="single" w:sz="4" w:space="0" w:color="000000"/>
            </w:tcBorders>
            <w:noWrap/>
            <w:vAlign w:val="center"/>
          </w:tcPr>
          <w:p w:rsidR="007A1596" w:rsidRDefault="00DC4461">
            <w:pPr>
              <w:autoSpaceDE/>
              <w:autoSpaceDN/>
              <w:snapToGrid/>
              <w:spacing w:line="240" w:lineRule="auto"/>
              <w:ind w:firstLine="0"/>
              <w:jc w:val="center"/>
              <w:rPr>
                <w:rFonts w:ascii="黑体" w:eastAsia="黑体" w:hAnsi="黑体" w:cs="黑体"/>
                <w:snapToGrid/>
                <w:kern w:val="2"/>
                <w:sz w:val="22"/>
                <w:szCs w:val="22"/>
              </w:rPr>
            </w:pPr>
            <w:r>
              <w:rPr>
                <w:rFonts w:ascii="黑体" w:eastAsia="黑体" w:hAnsi="黑体" w:cs="黑体" w:hint="eastAsia"/>
                <w:snapToGrid/>
                <w:sz w:val="22"/>
                <w:szCs w:val="22"/>
              </w:rPr>
              <w:t>地区</w:t>
            </w:r>
          </w:p>
        </w:tc>
        <w:tc>
          <w:tcPr>
            <w:tcW w:w="3836" w:type="dxa"/>
            <w:gridSpan w:val="3"/>
            <w:tcBorders>
              <w:top w:val="single" w:sz="4" w:space="0" w:color="000000"/>
              <w:left w:val="single" w:sz="4" w:space="0" w:color="000000"/>
              <w:right w:val="single" w:sz="4" w:space="0" w:color="000000"/>
            </w:tcBorders>
            <w:noWrap/>
            <w:vAlign w:val="center"/>
          </w:tcPr>
          <w:p w:rsidR="007A1596" w:rsidRDefault="00DC4461">
            <w:pPr>
              <w:widowControl/>
              <w:autoSpaceDE/>
              <w:autoSpaceDN/>
              <w:snapToGrid/>
              <w:spacing w:line="360" w:lineRule="exact"/>
              <w:ind w:firstLine="0"/>
              <w:jc w:val="center"/>
              <w:textAlignment w:val="center"/>
              <w:rPr>
                <w:rFonts w:ascii="黑体" w:eastAsia="黑体" w:hAnsi="黑体" w:cs="黑体"/>
                <w:snapToGrid/>
                <w:sz w:val="22"/>
                <w:szCs w:val="22"/>
              </w:rPr>
            </w:pPr>
            <w:r>
              <w:rPr>
                <w:rFonts w:ascii="黑体" w:eastAsia="黑体" w:hAnsi="黑体" w:cs="黑体" w:hint="eastAsia"/>
                <w:snapToGrid/>
                <w:sz w:val="22"/>
                <w:szCs w:val="22"/>
              </w:rPr>
              <w:t>新增创建特色科室的基层</w:t>
            </w:r>
          </w:p>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sz w:val="22"/>
                <w:szCs w:val="22"/>
              </w:rPr>
              <w:t>医疗机构数（家）</w:t>
            </w:r>
          </w:p>
        </w:tc>
        <w:tc>
          <w:tcPr>
            <w:tcW w:w="3836" w:type="dxa"/>
            <w:gridSpan w:val="3"/>
            <w:tcBorders>
              <w:top w:val="single" w:sz="4" w:space="0" w:color="000000"/>
              <w:left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sz w:val="22"/>
                <w:szCs w:val="22"/>
              </w:rPr>
              <w:t>新增基层特色科室数（个）</w:t>
            </w:r>
          </w:p>
        </w:tc>
        <w:tc>
          <w:tcPr>
            <w:tcW w:w="3836" w:type="dxa"/>
            <w:gridSpan w:val="3"/>
            <w:tcBorders>
              <w:top w:val="single" w:sz="4" w:space="0" w:color="000000"/>
              <w:left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kern w:val="2"/>
                <w:sz w:val="22"/>
                <w:szCs w:val="22"/>
              </w:rPr>
              <w:t>新增推荐标准村卫生室数（个）</w:t>
            </w:r>
          </w:p>
        </w:tc>
      </w:tr>
      <w:tr w:rsidR="007A1596">
        <w:trPr>
          <w:trHeight w:val="525"/>
        </w:trPr>
        <w:tc>
          <w:tcPr>
            <w:tcW w:w="2248" w:type="dxa"/>
            <w:vMerge/>
            <w:tcBorders>
              <w:left w:val="single" w:sz="4" w:space="0" w:color="000000"/>
              <w:bottom w:val="single" w:sz="4" w:space="0" w:color="000000"/>
              <w:right w:val="single" w:sz="4" w:space="0" w:color="000000"/>
            </w:tcBorders>
            <w:noWrap/>
            <w:vAlign w:val="center"/>
          </w:tcPr>
          <w:p w:rsidR="007A1596" w:rsidRDefault="007A1596">
            <w:pPr>
              <w:autoSpaceDE/>
              <w:autoSpaceDN/>
              <w:snapToGrid/>
              <w:spacing w:line="240" w:lineRule="auto"/>
              <w:ind w:firstLine="0"/>
              <w:jc w:val="center"/>
              <w:rPr>
                <w:rFonts w:ascii="黑体" w:eastAsia="黑体" w:hAnsi="黑体" w:cs="黑体"/>
                <w:snapToGrid/>
                <w:kern w:val="2"/>
                <w:sz w:val="22"/>
                <w:szCs w:val="22"/>
              </w:rPr>
            </w:pP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kern w:val="2"/>
                <w:sz w:val="22"/>
                <w:szCs w:val="22"/>
              </w:rPr>
              <w:t>2023年</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kern w:val="2"/>
                <w:sz w:val="22"/>
                <w:szCs w:val="22"/>
              </w:rPr>
              <w:t>2024年</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kern w:val="2"/>
                <w:sz w:val="22"/>
                <w:szCs w:val="22"/>
              </w:rPr>
              <w:t>2025年</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sz w:val="22"/>
                <w:szCs w:val="22"/>
              </w:rPr>
              <w:t>2023年</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sz w:val="22"/>
                <w:szCs w:val="22"/>
              </w:rPr>
              <w:t>2024年</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sz w:val="22"/>
                <w:szCs w:val="22"/>
              </w:rPr>
              <w:t>2025年</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kern w:val="2"/>
                <w:sz w:val="22"/>
                <w:szCs w:val="22"/>
              </w:rPr>
              <w:t>2023年</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kern w:val="2"/>
                <w:sz w:val="22"/>
                <w:szCs w:val="22"/>
              </w:rPr>
              <w:t>2024年</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黑体" w:cs="黑体"/>
                <w:snapToGrid/>
                <w:kern w:val="2"/>
                <w:sz w:val="22"/>
                <w:szCs w:val="22"/>
              </w:rPr>
            </w:pPr>
            <w:r>
              <w:rPr>
                <w:rFonts w:ascii="黑体" w:eastAsia="黑体" w:hAnsi="黑体" w:cs="黑体" w:hint="eastAsia"/>
                <w:snapToGrid/>
                <w:kern w:val="2"/>
                <w:sz w:val="22"/>
                <w:szCs w:val="22"/>
              </w:rPr>
              <w:t>2025年</w:t>
            </w:r>
          </w:p>
        </w:tc>
      </w:tr>
      <w:tr w:rsidR="007A1596">
        <w:trPr>
          <w:trHeight w:val="516"/>
        </w:trPr>
        <w:tc>
          <w:tcPr>
            <w:tcW w:w="224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宋体" w:cs="黑体"/>
                <w:snapToGrid/>
                <w:kern w:val="2"/>
                <w:sz w:val="22"/>
                <w:szCs w:val="22"/>
              </w:rPr>
            </w:pPr>
            <w:r>
              <w:rPr>
                <w:rFonts w:ascii="黑体" w:eastAsia="黑体" w:hAnsi="宋体" w:cs="黑体" w:hint="eastAsia"/>
                <w:snapToGrid/>
                <w:sz w:val="22"/>
                <w:szCs w:val="22"/>
              </w:rPr>
              <w:t>海安</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2</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0</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2</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0</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15</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10</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7</w:t>
            </w:r>
          </w:p>
        </w:tc>
      </w:tr>
      <w:tr w:rsidR="007A1596">
        <w:trPr>
          <w:trHeight w:val="516"/>
        </w:trPr>
        <w:tc>
          <w:tcPr>
            <w:tcW w:w="224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宋体" w:cs="黑体"/>
                <w:snapToGrid/>
                <w:kern w:val="2"/>
                <w:sz w:val="22"/>
                <w:szCs w:val="22"/>
              </w:rPr>
            </w:pPr>
            <w:r>
              <w:rPr>
                <w:rFonts w:ascii="黑体" w:eastAsia="黑体" w:hAnsi="宋体" w:cs="黑体" w:hint="eastAsia"/>
                <w:snapToGrid/>
                <w:sz w:val="22"/>
                <w:szCs w:val="22"/>
              </w:rPr>
              <w:t>如皋</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2</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2</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2</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20</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21</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20</w:t>
            </w:r>
          </w:p>
        </w:tc>
      </w:tr>
      <w:tr w:rsidR="007A1596">
        <w:trPr>
          <w:trHeight w:val="516"/>
        </w:trPr>
        <w:tc>
          <w:tcPr>
            <w:tcW w:w="224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宋体" w:cs="黑体"/>
                <w:snapToGrid/>
                <w:kern w:val="2"/>
                <w:sz w:val="22"/>
                <w:szCs w:val="22"/>
              </w:rPr>
            </w:pPr>
            <w:r>
              <w:rPr>
                <w:rFonts w:ascii="黑体" w:eastAsia="黑体" w:hAnsi="宋体" w:cs="黑体" w:hint="eastAsia"/>
                <w:snapToGrid/>
                <w:sz w:val="22"/>
                <w:szCs w:val="22"/>
              </w:rPr>
              <w:t>如东</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2</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2</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2</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16</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10</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10</w:t>
            </w:r>
          </w:p>
        </w:tc>
      </w:tr>
      <w:tr w:rsidR="007A1596">
        <w:trPr>
          <w:trHeight w:val="516"/>
        </w:trPr>
        <w:tc>
          <w:tcPr>
            <w:tcW w:w="224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宋体" w:cs="黑体"/>
                <w:snapToGrid/>
                <w:kern w:val="2"/>
                <w:sz w:val="22"/>
                <w:szCs w:val="22"/>
              </w:rPr>
            </w:pPr>
            <w:r>
              <w:rPr>
                <w:rFonts w:ascii="黑体" w:eastAsia="黑体" w:hAnsi="宋体" w:cs="黑体" w:hint="eastAsia"/>
                <w:snapToGrid/>
                <w:sz w:val="22"/>
                <w:szCs w:val="22"/>
              </w:rPr>
              <w:t>启东</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8</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20</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14</w:t>
            </w:r>
          </w:p>
        </w:tc>
      </w:tr>
      <w:tr w:rsidR="007A1596">
        <w:trPr>
          <w:trHeight w:val="516"/>
        </w:trPr>
        <w:tc>
          <w:tcPr>
            <w:tcW w:w="224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宋体" w:cs="黑体"/>
                <w:snapToGrid/>
                <w:kern w:val="2"/>
                <w:sz w:val="22"/>
                <w:szCs w:val="22"/>
              </w:rPr>
            </w:pPr>
            <w:r>
              <w:rPr>
                <w:rFonts w:ascii="黑体" w:eastAsia="黑体" w:hAnsi="宋体" w:cs="黑体" w:hint="eastAsia"/>
                <w:snapToGrid/>
                <w:sz w:val="22"/>
                <w:szCs w:val="22"/>
              </w:rPr>
              <w:t>通州</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4</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4</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20</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11</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6</w:t>
            </w:r>
          </w:p>
        </w:tc>
      </w:tr>
      <w:tr w:rsidR="007A1596">
        <w:trPr>
          <w:trHeight w:val="516"/>
        </w:trPr>
        <w:tc>
          <w:tcPr>
            <w:tcW w:w="224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宋体" w:cs="黑体"/>
                <w:snapToGrid/>
                <w:kern w:val="2"/>
                <w:sz w:val="22"/>
                <w:szCs w:val="22"/>
              </w:rPr>
            </w:pPr>
            <w:r>
              <w:rPr>
                <w:rFonts w:ascii="黑体" w:eastAsia="黑体" w:hAnsi="宋体" w:cs="黑体" w:hint="eastAsia"/>
                <w:snapToGrid/>
                <w:sz w:val="22"/>
                <w:szCs w:val="22"/>
              </w:rPr>
              <w:t>海门</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8</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7</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15</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15</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15</w:t>
            </w:r>
          </w:p>
        </w:tc>
      </w:tr>
      <w:tr w:rsidR="007A1596">
        <w:trPr>
          <w:trHeight w:val="516"/>
        </w:trPr>
        <w:tc>
          <w:tcPr>
            <w:tcW w:w="224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宋体" w:cs="黑体"/>
                <w:snapToGrid/>
                <w:kern w:val="2"/>
                <w:sz w:val="22"/>
                <w:szCs w:val="22"/>
              </w:rPr>
            </w:pPr>
            <w:r>
              <w:rPr>
                <w:rFonts w:ascii="黑体" w:eastAsia="黑体" w:hAnsi="宋体" w:cs="黑体" w:hint="eastAsia"/>
                <w:snapToGrid/>
                <w:sz w:val="22"/>
                <w:szCs w:val="22"/>
              </w:rPr>
              <w:t>崇川</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3</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w:t>
            </w:r>
          </w:p>
        </w:tc>
      </w:tr>
      <w:tr w:rsidR="007A1596">
        <w:trPr>
          <w:trHeight w:val="516"/>
        </w:trPr>
        <w:tc>
          <w:tcPr>
            <w:tcW w:w="224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宋体" w:cs="黑体"/>
                <w:snapToGrid/>
                <w:kern w:val="2"/>
                <w:sz w:val="22"/>
                <w:szCs w:val="22"/>
              </w:rPr>
            </w:pPr>
            <w:r>
              <w:rPr>
                <w:rFonts w:ascii="黑体" w:eastAsia="黑体" w:hAnsi="宋体" w:cs="黑体" w:hint="eastAsia"/>
                <w:snapToGrid/>
                <w:sz w:val="22"/>
                <w:szCs w:val="22"/>
              </w:rPr>
              <w:t>开发区</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0</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0</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2</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0</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0</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w:t>
            </w:r>
          </w:p>
        </w:tc>
      </w:tr>
      <w:tr w:rsidR="007A1596">
        <w:trPr>
          <w:trHeight w:val="516"/>
        </w:trPr>
        <w:tc>
          <w:tcPr>
            <w:tcW w:w="224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宋体" w:cs="黑体"/>
                <w:snapToGrid/>
                <w:kern w:val="2"/>
                <w:sz w:val="22"/>
                <w:szCs w:val="22"/>
              </w:rPr>
            </w:pPr>
            <w:r>
              <w:rPr>
                <w:rFonts w:ascii="黑体" w:eastAsia="黑体" w:hAnsi="宋体" w:cs="黑体" w:hint="eastAsia"/>
                <w:snapToGrid/>
                <w:sz w:val="22"/>
                <w:szCs w:val="22"/>
              </w:rPr>
              <w:t>通州湾</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0</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2</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0</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2</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3</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3</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2</w:t>
            </w:r>
          </w:p>
        </w:tc>
      </w:tr>
      <w:tr w:rsidR="007A1596">
        <w:trPr>
          <w:trHeight w:val="516"/>
        </w:trPr>
        <w:tc>
          <w:tcPr>
            <w:tcW w:w="224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宋体" w:cs="黑体"/>
                <w:snapToGrid/>
                <w:kern w:val="2"/>
                <w:sz w:val="22"/>
                <w:szCs w:val="22"/>
              </w:rPr>
            </w:pPr>
            <w:r>
              <w:rPr>
                <w:rFonts w:ascii="黑体" w:eastAsia="黑体" w:hAnsi="宋体" w:cs="黑体" w:hint="eastAsia"/>
                <w:snapToGrid/>
                <w:sz w:val="22"/>
                <w:szCs w:val="22"/>
              </w:rPr>
              <w:t>苏锡通</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0</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0</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0</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0</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0</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1</w:t>
            </w:r>
          </w:p>
        </w:tc>
      </w:tr>
      <w:tr w:rsidR="007A1596">
        <w:trPr>
          <w:trHeight w:val="558"/>
        </w:trPr>
        <w:tc>
          <w:tcPr>
            <w:tcW w:w="224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黑体" w:eastAsia="黑体" w:hAnsi="宋体" w:cs="黑体"/>
                <w:snapToGrid/>
                <w:kern w:val="2"/>
                <w:sz w:val="22"/>
                <w:szCs w:val="22"/>
              </w:rPr>
            </w:pPr>
            <w:r>
              <w:rPr>
                <w:rFonts w:ascii="黑体" w:eastAsia="黑体" w:hAnsi="宋体" w:cs="黑体" w:hint="eastAsia"/>
                <w:snapToGrid/>
                <w:sz w:val="22"/>
                <w:szCs w:val="22"/>
              </w:rPr>
              <w:t>合计</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16</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13</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18</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24</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17</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sz w:val="22"/>
                <w:szCs w:val="22"/>
              </w:rPr>
              <w:t>24</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97</w:t>
            </w:r>
          </w:p>
        </w:tc>
        <w:tc>
          <w:tcPr>
            <w:tcW w:w="1278"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91</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7A1596" w:rsidRDefault="00DC4461">
            <w:pPr>
              <w:widowControl/>
              <w:autoSpaceDE/>
              <w:autoSpaceDN/>
              <w:snapToGrid/>
              <w:spacing w:line="240" w:lineRule="auto"/>
              <w:ind w:firstLine="0"/>
              <w:jc w:val="center"/>
              <w:textAlignment w:val="center"/>
              <w:rPr>
                <w:rFonts w:ascii="宋体" w:eastAsia="宋体" w:hAnsi="宋体" w:cs="宋体"/>
                <w:snapToGrid/>
                <w:kern w:val="2"/>
                <w:sz w:val="22"/>
                <w:szCs w:val="22"/>
              </w:rPr>
            </w:pPr>
            <w:r>
              <w:rPr>
                <w:rFonts w:ascii="宋体" w:eastAsia="宋体" w:hAnsi="宋体" w:cs="宋体" w:hint="eastAsia"/>
                <w:snapToGrid/>
                <w:kern w:val="2"/>
                <w:sz w:val="22"/>
                <w:szCs w:val="22"/>
              </w:rPr>
              <w:t>75</w:t>
            </w:r>
          </w:p>
        </w:tc>
      </w:tr>
    </w:tbl>
    <w:p w:rsidR="007A1596" w:rsidRDefault="00DC4461">
      <w:pPr>
        <w:autoSpaceDE/>
        <w:autoSpaceDN/>
        <w:snapToGrid/>
        <w:spacing w:line="240" w:lineRule="auto"/>
        <w:ind w:firstLine="0"/>
        <w:jc w:val="center"/>
        <w:rPr>
          <w:rFonts w:ascii="方正小标宋_GBK" w:eastAsia="方正小标宋_GBK" w:hAnsi="方正小标宋_GBK" w:cs="方正小标宋_GBK"/>
          <w:snapToGrid/>
          <w:kern w:val="2"/>
          <w:sz w:val="44"/>
          <w:szCs w:val="44"/>
        </w:rPr>
      </w:pPr>
      <w:r>
        <w:rPr>
          <w:rFonts w:ascii="方正小标宋_GBK" w:eastAsia="方正小标宋_GBK" w:hAnsi="方正小标宋_GBK" w:cs="方正小标宋_GBK" w:hint="eastAsia"/>
          <w:snapToGrid/>
          <w:kern w:val="2"/>
          <w:sz w:val="44"/>
          <w:szCs w:val="44"/>
        </w:rPr>
        <w:lastRenderedPageBreak/>
        <w:t>三年行动方案重点任务分解表（三）</w:t>
      </w:r>
    </w:p>
    <w:tbl>
      <w:tblPr>
        <w:tblW w:w="13993" w:type="dxa"/>
        <w:tblLook w:val="04A0"/>
      </w:tblPr>
      <w:tblGrid>
        <w:gridCol w:w="885"/>
        <w:gridCol w:w="1084"/>
        <w:gridCol w:w="1002"/>
        <w:gridCol w:w="1003"/>
        <w:gridCol w:w="1002"/>
        <w:gridCol w:w="1002"/>
        <w:gridCol w:w="1145"/>
        <w:gridCol w:w="1145"/>
        <w:gridCol w:w="1145"/>
        <w:gridCol w:w="1145"/>
        <w:gridCol w:w="1145"/>
        <w:gridCol w:w="1145"/>
        <w:gridCol w:w="1145"/>
      </w:tblGrid>
      <w:tr w:rsidR="007A1596">
        <w:trPr>
          <w:trHeight w:val="358"/>
        </w:trPr>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地区</w:t>
            </w:r>
          </w:p>
        </w:tc>
        <w:tc>
          <w:tcPr>
            <w:tcW w:w="6237" w:type="dxa"/>
            <w:gridSpan w:val="6"/>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乡镇卫生院(社区卫生服务中心）</w:t>
            </w:r>
          </w:p>
        </w:tc>
        <w:tc>
          <w:tcPr>
            <w:tcW w:w="6870" w:type="dxa"/>
            <w:gridSpan w:val="6"/>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村卫生室（社区卫生服务站）</w:t>
            </w:r>
          </w:p>
        </w:tc>
      </w:tr>
      <w:tr w:rsidR="007A1596">
        <w:trPr>
          <w:trHeight w:val="307"/>
        </w:trPr>
        <w:tc>
          <w:tcPr>
            <w:tcW w:w="885" w:type="dxa"/>
            <w:vMerge/>
            <w:tcBorders>
              <w:top w:val="single" w:sz="4" w:space="0" w:color="000000"/>
              <w:left w:val="single" w:sz="4" w:space="0" w:color="000000"/>
              <w:bottom w:val="single" w:sz="4" w:space="0" w:color="000000"/>
              <w:right w:val="single" w:sz="4" w:space="0" w:color="000000"/>
            </w:tcBorders>
            <w:vAlign w:val="center"/>
          </w:tcPr>
          <w:p w:rsidR="007A1596" w:rsidRDefault="007A1596">
            <w:pPr>
              <w:widowControl/>
              <w:autoSpaceDE/>
              <w:autoSpaceDN/>
              <w:snapToGrid/>
              <w:spacing w:line="240" w:lineRule="auto"/>
              <w:ind w:firstLine="0"/>
              <w:jc w:val="left"/>
              <w:rPr>
                <w:rFonts w:ascii="黑体" w:eastAsia="黑体" w:hAnsi="黑体" w:cs="宋体"/>
                <w:snapToGrid/>
                <w:sz w:val="22"/>
                <w:szCs w:val="22"/>
              </w:rPr>
            </w:pPr>
          </w:p>
        </w:tc>
        <w:tc>
          <w:tcPr>
            <w:tcW w:w="3089" w:type="dxa"/>
            <w:gridSpan w:val="3"/>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新建（个）</w:t>
            </w:r>
          </w:p>
        </w:tc>
        <w:tc>
          <w:tcPr>
            <w:tcW w:w="3148" w:type="dxa"/>
            <w:gridSpan w:val="3"/>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改扩建（个）</w:t>
            </w:r>
          </w:p>
        </w:tc>
        <w:tc>
          <w:tcPr>
            <w:tcW w:w="3435" w:type="dxa"/>
            <w:gridSpan w:val="3"/>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新建（个）</w:t>
            </w:r>
          </w:p>
        </w:tc>
        <w:tc>
          <w:tcPr>
            <w:tcW w:w="3435" w:type="dxa"/>
            <w:gridSpan w:val="3"/>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改扩建（个）</w:t>
            </w:r>
          </w:p>
        </w:tc>
      </w:tr>
      <w:tr w:rsidR="007A1596">
        <w:trPr>
          <w:trHeight w:val="307"/>
        </w:trPr>
        <w:tc>
          <w:tcPr>
            <w:tcW w:w="885" w:type="dxa"/>
            <w:vMerge/>
            <w:tcBorders>
              <w:top w:val="single" w:sz="4" w:space="0" w:color="000000"/>
              <w:left w:val="single" w:sz="4" w:space="0" w:color="000000"/>
              <w:bottom w:val="single" w:sz="4" w:space="0" w:color="000000"/>
              <w:right w:val="single" w:sz="4" w:space="0" w:color="000000"/>
            </w:tcBorders>
            <w:vAlign w:val="center"/>
          </w:tcPr>
          <w:p w:rsidR="007A1596" w:rsidRDefault="007A1596">
            <w:pPr>
              <w:widowControl/>
              <w:autoSpaceDE/>
              <w:autoSpaceDN/>
              <w:snapToGrid/>
              <w:spacing w:line="240" w:lineRule="auto"/>
              <w:ind w:firstLine="0"/>
              <w:jc w:val="left"/>
              <w:rPr>
                <w:rFonts w:ascii="黑体" w:eastAsia="黑体" w:hAnsi="黑体" w:cs="宋体"/>
                <w:snapToGrid/>
                <w:sz w:val="22"/>
                <w:szCs w:val="22"/>
              </w:rPr>
            </w:pPr>
          </w:p>
        </w:tc>
        <w:tc>
          <w:tcPr>
            <w:tcW w:w="1084"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2023年</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2024年</w:t>
            </w:r>
          </w:p>
        </w:tc>
        <w:tc>
          <w:tcPr>
            <w:tcW w:w="1003"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2025年</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2023年</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2024年</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2025年</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2023年</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2024年</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2025年</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2023年</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2024年</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2025年</w:t>
            </w:r>
          </w:p>
        </w:tc>
      </w:tr>
      <w:tr w:rsidR="007A1596">
        <w:trPr>
          <w:trHeight w:val="307"/>
        </w:trPr>
        <w:tc>
          <w:tcPr>
            <w:tcW w:w="885" w:type="dxa"/>
            <w:tcBorders>
              <w:top w:val="nil"/>
              <w:left w:val="single" w:sz="4" w:space="0" w:color="000000"/>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海安</w:t>
            </w:r>
          </w:p>
        </w:tc>
        <w:tc>
          <w:tcPr>
            <w:tcW w:w="1084"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3"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3</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4</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7</w:t>
            </w:r>
          </w:p>
        </w:tc>
      </w:tr>
      <w:tr w:rsidR="007A1596">
        <w:trPr>
          <w:trHeight w:val="307"/>
        </w:trPr>
        <w:tc>
          <w:tcPr>
            <w:tcW w:w="885" w:type="dxa"/>
            <w:tcBorders>
              <w:top w:val="nil"/>
              <w:left w:val="single" w:sz="4" w:space="0" w:color="000000"/>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如皋</w:t>
            </w:r>
          </w:p>
        </w:tc>
        <w:tc>
          <w:tcPr>
            <w:tcW w:w="1084"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003"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3</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6</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12</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9</w:t>
            </w:r>
          </w:p>
        </w:tc>
      </w:tr>
      <w:tr w:rsidR="007A1596">
        <w:trPr>
          <w:trHeight w:val="307"/>
        </w:trPr>
        <w:tc>
          <w:tcPr>
            <w:tcW w:w="885" w:type="dxa"/>
            <w:tcBorders>
              <w:top w:val="nil"/>
              <w:left w:val="single" w:sz="4" w:space="0" w:color="000000"/>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如东</w:t>
            </w:r>
          </w:p>
        </w:tc>
        <w:tc>
          <w:tcPr>
            <w:tcW w:w="1084"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2</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3"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15</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15</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18</w:t>
            </w:r>
          </w:p>
        </w:tc>
      </w:tr>
      <w:tr w:rsidR="007A1596">
        <w:trPr>
          <w:trHeight w:val="307"/>
        </w:trPr>
        <w:tc>
          <w:tcPr>
            <w:tcW w:w="885" w:type="dxa"/>
            <w:tcBorders>
              <w:top w:val="nil"/>
              <w:left w:val="single" w:sz="4" w:space="0" w:color="000000"/>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启东</w:t>
            </w:r>
          </w:p>
        </w:tc>
        <w:tc>
          <w:tcPr>
            <w:tcW w:w="1084"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3"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3</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8</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9</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9</w:t>
            </w:r>
          </w:p>
        </w:tc>
      </w:tr>
      <w:tr w:rsidR="007A1596">
        <w:trPr>
          <w:trHeight w:val="307"/>
        </w:trPr>
        <w:tc>
          <w:tcPr>
            <w:tcW w:w="885" w:type="dxa"/>
            <w:tcBorders>
              <w:top w:val="nil"/>
              <w:left w:val="single" w:sz="4" w:space="0" w:color="000000"/>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通州</w:t>
            </w:r>
          </w:p>
        </w:tc>
        <w:tc>
          <w:tcPr>
            <w:tcW w:w="1084"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002"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003"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196</w:t>
            </w:r>
          </w:p>
        </w:tc>
        <w:tc>
          <w:tcPr>
            <w:tcW w:w="1145"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r>
      <w:tr w:rsidR="007A1596">
        <w:trPr>
          <w:trHeight w:val="307"/>
        </w:trPr>
        <w:tc>
          <w:tcPr>
            <w:tcW w:w="885" w:type="dxa"/>
            <w:tcBorders>
              <w:top w:val="nil"/>
              <w:left w:val="single" w:sz="4" w:space="0" w:color="000000"/>
              <w:bottom w:val="single" w:sz="4" w:space="0" w:color="000000"/>
              <w:right w:val="nil"/>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海门</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3" w:type="dxa"/>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3</w:t>
            </w:r>
          </w:p>
        </w:tc>
        <w:tc>
          <w:tcPr>
            <w:tcW w:w="1002" w:type="dxa"/>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145" w:type="dxa"/>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3</w:t>
            </w:r>
          </w:p>
        </w:tc>
        <w:tc>
          <w:tcPr>
            <w:tcW w:w="1145" w:type="dxa"/>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6</w:t>
            </w:r>
          </w:p>
        </w:tc>
        <w:tc>
          <w:tcPr>
            <w:tcW w:w="1145" w:type="dxa"/>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4</w:t>
            </w:r>
          </w:p>
        </w:tc>
        <w:tc>
          <w:tcPr>
            <w:tcW w:w="1145" w:type="dxa"/>
            <w:tcBorders>
              <w:top w:val="single" w:sz="4" w:space="0" w:color="000000"/>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r>
      <w:tr w:rsidR="007A1596">
        <w:trPr>
          <w:trHeight w:val="307"/>
        </w:trPr>
        <w:tc>
          <w:tcPr>
            <w:tcW w:w="885" w:type="dxa"/>
            <w:tcBorders>
              <w:top w:val="nil"/>
              <w:left w:val="single" w:sz="4" w:space="0" w:color="000000"/>
              <w:bottom w:val="single" w:sz="4" w:space="0" w:color="000000"/>
              <w:right w:val="nil"/>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崇川</w:t>
            </w:r>
          </w:p>
        </w:tc>
        <w:tc>
          <w:tcPr>
            <w:tcW w:w="1084" w:type="dxa"/>
            <w:tcBorders>
              <w:top w:val="nil"/>
              <w:left w:val="single" w:sz="4" w:space="0" w:color="000000"/>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2</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003"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r>
      <w:tr w:rsidR="007A1596">
        <w:trPr>
          <w:trHeight w:val="307"/>
        </w:trPr>
        <w:tc>
          <w:tcPr>
            <w:tcW w:w="885" w:type="dxa"/>
            <w:tcBorders>
              <w:top w:val="nil"/>
              <w:left w:val="single" w:sz="4" w:space="0" w:color="000000"/>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开发区</w:t>
            </w:r>
          </w:p>
        </w:tc>
        <w:tc>
          <w:tcPr>
            <w:tcW w:w="1084"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3"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r>
      <w:tr w:rsidR="007A1596">
        <w:trPr>
          <w:trHeight w:val="307"/>
        </w:trPr>
        <w:tc>
          <w:tcPr>
            <w:tcW w:w="885" w:type="dxa"/>
            <w:tcBorders>
              <w:top w:val="nil"/>
              <w:left w:val="single" w:sz="4" w:space="0" w:color="000000"/>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通州湾</w:t>
            </w:r>
          </w:p>
        </w:tc>
        <w:tc>
          <w:tcPr>
            <w:tcW w:w="1084"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3"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3</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single" w:sz="4" w:space="0" w:color="000000"/>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r>
      <w:tr w:rsidR="007A1596">
        <w:trPr>
          <w:trHeight w:val="307"/>
        </w:trPr>
        <w:tc>
          <w:tcPr>
            <w:tcW w:w="885" w:type="dxa"/>
            <w:tcBorders>
              <w:top w:val="nil"/>
              <w:left w:val="single" w:sz="4" w:space="0" w:color="000000"/>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苏锡通</w:t>
            </w:r>
          </w:p>
        </w:tc>
        <w:tc>
          <w:tcPr>
            <w:tcW w:w="1084"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002"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3"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002"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002"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145"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nil"/>
              <w:left w:val="nil"/>
              <w:bottom w:val="nil"/>
              <w:right w:val="single" w:sz="4" w:space="0" w:color="000000"/>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2</w:t>
            </w:r>
          </w:p>
        </w:tc>
      </w:tr>
      <w:tr w:rsidR="007A1596">
        <w:trPr>
          <w:trHeight w:val="307"/>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1596" w:rsidRDefault="00DC4461">
            <w:pPr>
              <w:widowControl/>
              <w:autoSpaceDE/>
              <w:autoSpaceDN/>
              <w:snapToGrid/>
              <w:spacing w:line="240" w:lineRule="auto"/>
              <w:ind w:firstLine="0"/>
              <w:jc w:val="center"/>
              <w:rPr>
                <w:rFonts w:ascii="黑体" w:eastAsia="黑体" w:hAnsi="黑体" w:cs="宋体"/>
                <w:snapToGrid/>
                <w:sz w:val="22"/>
                <w:szCs w:val="22"/>
              </w:rPr>
            </w:pPr>
            <w:r>
              <w:rPr>
                <w:rFonts w:ascii="黑体" w:eastAsia="黑体" w:hAnsi="黑体" w:cs="宋体" w:hint="eastAsia"/>
                <w:snapToGrid/>
                <w:sz w:val="22"/>
                <w:szCs w:val="22"/>
              </w:rPr>
              <w:t>合计</w:t>
            </w:r>
          </w:p>
        </w:tc>
        <w:tc>
          <w:tcPr>
            <w:tcW w:w="1084" w:type="dxa"/>
            <w:tcBorders>
              <w:top w:val="single" w:sz="4" w:space="0" w:color="auto"/>
              <w:left w:val="nil"/>
              <w:bottom w:val="single" w:sz="4" w:space="0" w:color="auto"/>
              <w:right w:val="single" w:sz="4" w:space="0" w:color="auto"/>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8</w:t>
            </w:r>
          </w:p>
        </w:tc>
        <w:tc>
          <w:tcPr>
            <w:tcW w:w="1002" w:type="dxa"/>
            <w:tcBorders>
              <w:top w:val="single" w:sz="4" w:space="0" w:color="auto"/>
              <w:left w:val="nil"/>
              <w:bottom w:val="single" w:sz="4" w:space="0" w:color="auto"/>
              <w:right w:val="single" w:sz="4" w:space="0" w:color="auto"/>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3</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2</w:t>
            </w:r>
          </w:p>
        </w:tc>
        <w:tc>
          <w:tcPr>
            <w:tcW w:w="1002" w:type="dxa"/>
            <w:tcBorders>
              <w:top w:val="single" w:sz="4" w:space="0" w:color="auto"/>
              <w:left w:val="nil"/>
              <w:bottom w:val="single" w:sz="4" w:space="0" w:color="auto"/>
              <w:right w:val="single" w:sz="4" w:space="0" w:color="auto"/>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7</w:t>
            </w:r>
          </w:p>
        </w:tc>
        <w:tc>
          <w:tcPr>
            <w:tcW w:w="1002" w:type="dxa"/>
            <w:tcBorders>
              <w:top w:val="single" w:sz="4" w:space="0" w:color="auto"/>
              <w:left w:val="nil"/>
              <w:bottom w:val="single" w:sz="4" w:space="0" w:color="auto"/>
              <w:right w:val="single" w:sz="4" w:space="0" w:color="auto"/>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3</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2</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13</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0</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1</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244</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44</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7A1596" w:rsidRDefault="00DC4461">
            <w:pPr>
              <w:widowControl/>
              <w:autoSpaceDE/>
              <w:autoSpaceDN/>
              <w:snapToGrid/>
              <w:spacing w:line="240" w:lineRule="auto"/>
              <w:ind w:firstLine="0"/>
              <w:jc w:val="center"/>
              <w:rPr>
                <w:rFonts w:ascii="宋体" w:eastAsia="宋体" w:hAnsi="宋体" w:cs="宋体"/>
                <w:snapToGrid/>
                <w:sz w:val="22"/>
                <w:szCs w:val="22"/>
              </w:rPr>
            </w:pPr>
            <w:r>
              <w:rPr>
                <w:rFonts w:ascii="宋体" w:eastAsia="宋体" w:hAnsi="宋体" w:cs="宋体" w:hint="eastAsia"/>
                <w:snapToGrid/>
                <w:sz w:val="22"/>
                <w:szCs w:val="22"/>
              </w:rPr>
              <w:t>45</w:t>
            </w:r>
          </w:p>
        </w:tc>
      </w:tr>
    </w:tbl>
    <w:p w:rsidR="007A1596" w:rsidRDefault="007A1596">
      <w:pPr>
        <w:autoSpaceDE/>
        <w:autoSpaceDN/>
        <w:snapToGrid/>
        <w:spacing w:line="240" w:lineRule="auto"/>
        <w:ind w:firstLine="0"/>
        <w:rPr>
          <w:rFonts w:ascii="方正小标宋_GBK" w:eastAsia="方正小标宋_GBK" w:hAnsi="方正小标宋_GBK" w:cs="方正小标宋_GBK"/>
          <w:snapToGrid/>
          <w:kern w:val="2"/>
          <w:szCs w:val="32"/>
        </w:rPr>
      </w:pPr>
      <w:bookmarkStart w:id="0" w:name="_GoBack"/>
      <w:bookmarkEnd w:id="0"/>
    </w:p>
    <w:sectPr w:rsidR="007A1596" w:rsidSect="007A1596">
      <w:pgSz w:w="16838" w:h="11906" w:orient="landscape"/>
      <w:pgMar w:top="1803" w:right="1440" w:bottom="1803" w:left="1440" w:header="851" w:footer="992" w:gutter="0"/>
      <w:cols w:space="0"/>
      <w:docGrid w:type="lines" w:linePitch="4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CEE" w:rsidRDefault="00111CEE">
      <w:pPr>
        <w:spacing w:line="240" w:lineRule="auto"/>
      </w:pPr>
      <w:r>
        <w:separator/>
      </w:r>
    </w:p>
  </w:endnote>
  <w:endnote w:type="continuationSeparator" w:id="0">
    <w:p w:rsidR="00111CEE" w:rsidRDefault="00111C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96" w:rsidRDefault="00E25A58">
    <w:pPr>
      <w:pStyle w:val="a5"/>
    </w:pPr>
    <w:r w:rsidRPr="00E25A58">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filled="f" stroked="f" strokeweight=".5pt">
          <v:textbox style="mso-fit-shape-to-text:t" inset="0,0,0,0">
            <w:txbxContent>
              <w:p w:rsidR="007A1596" w:rsidRDefault="00DC4461">
                <w:pPr>
                  <w:pStyle w:val="a5"/>
                  <w:rPr>
                    <w:sz w:val="28"/>
                    <w:szCs w:val="28"/>
                  </w:rPr>
                </w:pPr>
                <w:r>
                  <w:rPr>
                    <w:sz w:val="28"/>
                    <w:szCs w:val="28"/>
                  </w:rPr>
                  <w:t xml:space="preserve">— </w:t>
                </w:r>
                <w:r w:rsidR="00E25A58">
                  <w:rPr>
                    <w:sz w:val="28"/>
                    <w:szCs w:val="28"/>
                  </w:rPr>
                  <w:fldChar w:fldCharType="begin"/>
                </w:r>
                <w:r>
                  <w:rPr>
                    <w:sz w:val="28"/>
                    <w:szCs w:val="28"/>
                  </w:rPr>
                  <w:instrText xml:space="preserve"> PAGE  \* MERGEFORMAT </w:instrText>
                </w:r>
                <w:r w:rsidR="00E25A58">
                  <w:rPr>
                    <w:sz w:val="28"/>
                    <w:szCs w:val="28"/>
                  </w:rPr>
                  <w:fldChar w:fldCharType="separate"/>
                </w:r>
                <w:r w:rsidR="00FE7617">
                  <w:rPr>
                    <w:noProof/>
                    <w:sz w:val="28"/>
                    <w:szCs w:val="28"/>
                  </w:rPr>
                  <w:t>1</w:t>
                </w:r>
                <w:r w:rsidR="00E25A58">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CEE" w:rsidRDefault="00111CEE">
      <w:pPr>
        <w:spacing w:line="240" w:lineRule="auto"/>
      </w:pPr>
      <w:r>
        <w:separator/>
      </w:r>
    </w:p>
  </w:footnote>
  <w:footnote w:type="continuationSeparator" w:id="0">
    <w:p w:rsidR="00111CEE" w:rsidRDefault="00111CE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4AFA62"/>
    <w:multiLevelType w:val="singleLevel"/>
    <w:tmpl w:val="CC4AFA62"/>
    <w:lvl w:ilvl="0">
      <w:start w:val="4"/>
      <w:numFmt w:val="chineseCounting"/>
      <w:suff w:val="nothing"/>
      <w:lvlText w:val="%1、"/>
      <w:lvlJc w:val="left"/>
      <w:rPr>
        <w:rFonts w:hint="eastAsia"/>
      </w:rPr>
    </w:lvl>
  </w:abstractNum>
  <w:abstractNum w:abstractNumId="1">
    <w:nsid w:val="E5D0DB17"/>
    <w:multiLevelType w:val="singleLevel"/>
    <w:tmpl w:val="E5D0DB1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defaultTabStop w:val="420"/>
  <w:drawingGridHorizontalSpacing w:val="160"/>
  <w:drawingGridVerticalSpacing w:val="218"/>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g1NGJkNzY1Y2M4YzhmZjdiNTkzMjAyNzkwMzY4MzQifQ=="/>
  </w:docVars>
  <w:rsids>
    <w:rsidRoot w:val="00172A27"/>
    <w:rsid w:val="0000407D"/>
    <w:rsid w:val="00013BFD"/>
    <w:rsid w:val="00025E75"/>
    <w:rsid w:val="000969AD"/>
    <w:rsid w:val="000B3CAB"/>
    <w:rsid w:val="000C4072"/>
    <w:rsid w:val="000C7008"/>
    <w:rsid w:val="000E4EBA"/>
    <w:rsid w:val="00111CEE"/>
    <w:rsid w:val="00131CC5"/>
    <w:rsid w:val="00140419"/>
    <w:rsid w:val="00154180"/>
    <w:rsid w:val="00171C12"/>
    <w:rsid w:val="00172A27"/>
    <w:rsid w:val="00176045"/>
    <w:rsid w:val="0018497D"/>
    <w:rsid w:val="001B5122"/>
    <w:rsid w:val="001B5D99"/>
    <w:rsid w:val="001C71A1"/>
    <w:rsid w:val="001F5043"/>
    <w:rsid w:val="0020049D"/>
    <w:rsid w:val="002241DC"/>
    <w:rsid w:val="00241D1A"/>
    <w:rsid w:val="00277E26"/>
    <w:rsid w:val="002916FC"/>
    <w:rsid w:val="0029222D"/>
    <w:rsid w:val="002A6BF4"/>
    <w:rsid w:val="002D1EC7"/>
    <w:rsid w:val="002D7921"/>
    <w:rsid w:val="002F11B5"/>
    <w:rsid w:val="002F4E22"/>
    <w:rsid w:val="00343D71"/>
    <w:rsid w:val="00370459"/>
    <w:rsid w:val="003738D6"/>
    <w:rsid w:val="0038181E"/>
    <w:rsid w:val="003A084D"/>
    <w:rsid w:val="003A3250"/>
    <w:rsid w:val="003A5A5A"/>
    <w:rsid w:val="00403B0C"/>
    <w:rsid w:val="00432CB7"/>
    <w:rsid w:val="00432F5D"/>
    <w:rsid w:val="00442535"/>
    <w:rsid w:val="00445DB2"/>
    <w:rsid w:val="00447414"/>
    <w:rsid w:val="00460A59"/>
    <w:rsid w:val="004761C7"/>
    <w:rsid w:val="00494331"/>
    <w:rsid w:val="004A0238"/>
    <w:rsid w:val="004B2F83"/>
    <w:rsid w:val="004C648B"/>
    <w:rsid w:val="004E00EE"/>
    <w:rsid w:val="004E6F47"/>
    <w:rsid w:val="005267B4"/>
    <w:rsid w:val="00531337"/>
    <w:rsid w:val="00547E68"/>
    <w:rsid w:val="00553F58"/>
    <w:rsid w:val="00594BB0"/>
    <w:rsid w:val="005A04A4"/>
    <w:rsid w:val="005A383C"/>
    <w:rsid w:val="005B0CB0"/>
    <w:rsid w:val="005B6BC4"/>
    <w:rsid w:val="005C19EA"/>
    <w:rsid w:val="005C4024"/>
    <w:rsid w:val="005E6329"/>
    <w:rsid w:val="00601649"/>
    <w:rsid w:val="00626F91"/>
    <w:rsid w:val="00634609"/>
    <w:rsid w:val="00685AA9"/>
    <w:rsid w:val="00686C3E"/>
    <w:rsid w:val="0069047C"/>
    <w:rsid w:val="0069704C"/>
    <w:rsid w:val="006A13D0"/>
    <w:rsid w:val="006E3137"/>
    <w:rsid w:val="00701B2F"/>
    <w:rsid w:val="007030E4"/>
    <w:rsid w:val="007051C9"/>
    <w:rsid w:val="0071132F"/>
    <w:rsid w:val="007228DE"/>
    <w:rsid w:val="007373E2"/>
    <w:rsid w:val="00742E0D"/>
    <w:rsid w:val="00765EE4"/>
    <w:rsid w:val="007A1596"/>
    <w:rsid w:val="007A50CE"/>
    <w:rsid w:val="007A6C98"/>
    <w:rsid w:val="007B5CF2"/>
    <w:rsid w:val="007C2BB3"/>
    <w:rsid w:val="007D7659"/>
    <w:rsid w:val="008043F2"/>
    <w:rsid w:val="008155E5"/>
    <w:rsid w:val="00816F43"/>
    <w:rsid w:val="00823916"/>
    <w:rsid w:val="0082704A"/>
    <w:rsid w:val="00856F9E"/>
    <w:rsid w:val="00872A54"/>
    <w:rsid w:val="00873D3E"/>
    <w:rsid w:val="008A6E8F"/>
    <w:rsid w:val="008B09EE"/>
    <w:rsid w:val="008C4F47"/>
    <w:rsid w:val="008D23FE"/>
    <w:rsid w:val="008F064D"/>
    <w:rsid w:val="00904BE7"/>
    <w:rsid w:val="00917B3C"/>
    <w:rsid w:val="00934A55"/>
    <w:rsid w:val="009367DE"/>
    <w:rsid w:val="009475C6"/>
    <w:rsid w:val="009540F7"/>
    <w:rsid w:val="00962BE7"/>
    <w:rsid w:val="00981EAD"/>
    <w:rsid w:val="0098236B"/>
    <w:rsid w:val="00985107"/>
    <w:rsid w:val="00992654"/>
    <w:rsid w:val="009A1F71"/>
    <w:rsid w:val="009A2565"/>
    <w:rsid w:val="009A673B"/>
    <w:rsid w:val="009C0A9F"/>
    <w:rsid w:val="009D337D"/>
    <w:rsid w:val="009E1AEB"/>
    <w:rsid w:val="009E27C8"/>
    <w:rsid w:val="009E636F"/>
    <w:rsid w:val="009F7534"/>
    <w:rsid w:val="00A31A0A"/>
    <w:rsid w:val="00A41C44"/>
    <w:rsid w:val="00A45C12"/>
    <w:rsid w:val="00A55E16"/>
    <w:rsid w:val="00A61074"/>
    <w:rsid w:val="00A63431"/>
    <w:rsid w:val="00A74233"/>
    <w:rsid w:val="00A840F7"/>
    <w:rsid w:val="00A91257"/>
    <w:rsid w:val="00AA77D4"/>
    <w:rsid w:val="00AB1E64"/>
    <w:rsid w:val="00AC14E0"/>
    <w:rsid w:val="00AC4AAE"/>
    <w:rsid w:val="00AD46F2"/>
    <w:rsid w:val="00AD5C41"/>
    <w:rsid w:val="00AE2D91"/>
    <w:rsid w:val="00AF02FF"/>
    <w:rsid w:val="00B06CEB"/>
    <w:rsid w:val="00B26641"/>
    <w:rsid w:val="00B51C31"/>
    <w:rsid w:val="00B7002E"/>
    <w:rsid w:val="00BA25C0"/>
    <w:rsid w:val="00BD4048"/>
    <w:rsid w:val="00BD7506"/>
    <w:rsid w:val="00BE22AD"/>
    <w:rsid w:val="00BF12D3"/>
    <w:rsid w:val="00C01132"/>
    <w:rsid w:val="00C01FBB"/>
    <w:rsid w:val="00C03BFB"/>
    <w:rsid w:val="00C20248"/>
    <w:rsid w:val="00C2421D"/>
    <w:rsid w:val="00C34CB8"/>
    <w:rsid w:val="00C56490"/>
    <w:rsid w:val="00C56F2F"/>
    <w:rsid w:val="00C634DC"/>
    <w:rsid w:val="00C72909"/>
    <w:rsid w:val="00C733C7"/>
    <w:rsid w:val="00C97CCD"/>
    <w:rsid w:val="00CD3397"/>
    <w:rsid w:val="00CE4C82"/>
    <w:rsid w:val="00CE7923"/>
    <w:rsid w:val="00CF62BA"/>
    <w:rsid w:val="00D005EE"/>
    <w:rsid w:val="00D055CE"/>
    <w:rsid w:val="00D1561F"/>
    <w:rsid w:val="00D331E3"/>
    <w:rsid w:val="00D42B17"/>
    <w:rsid w:val="00D7104B"/>
    <w:rsid w:val="00D85C97"/>
    <w:rsid w:val="00D95267"/>
    <w:rsid w:val="00DA18EF"/>
    <w:rsid w:val="00DA1D93"/>
    <w:rsid w:val="00DB119D"/>
    <w:rsid w:val="00DC1BCA"/>
    <w:rsid w:val="00DC4461"/>
    <w:rsid w:val="00DD0C07"/>
    <w:rsid w:val="00DD6C43"/>
    <w:rsid w:val="00DF437C"/>
    <w:rsid w:val="00E2090F"/>
    <w:rsid w:val="00E2564F"/>
    <w:rsid w:val="00E25A58"/>
    <w:rsid w:val="00E301DC"/>
    <w:rsid w:val="00E643A4"/>
    <w:rsid w:val="00E72BC1"/>
    <w:rsid w:val="00E82E21"/>
    <w:rsid w:val="00EC7791"/>
    <w:rsid w:val="00ED4CAD"/>
    <w:rsid w:val="00ED7B89"/>
    <w:rsid w:val="00EE5D7C"/>
    <w:rsid w:val="00EF748E"/>
    <w:rsid w:val="00F03F41"/>
    <w:rsid w:val="00F11913"/>
    <w:rsid w:val="00F16BED"/>
    <w:rsid w:val="00F2085B"/>
    <w:rsid w:val="00F31FA2"/>
    <w:rsid w:val="00F502DE"/>
    <w:rsid w:val="00F52EAA"/>
    <w:rsid w:val="00F56F86"/>
    <w:rsid w:val="00F72CF3"/>
    <w:rsid w:val="00F8354B"/>
    <w:rsid w:val="00F87366"/>
    <w:rsid w:val="00F914CB"/>
    <w:rsid w:val="00FB00B8"/>
    <w:rsid w:val="00FC075F"/>
    <w:rsid w:val="00FD0F95"/>
    <w:rsid w:val="00FE09BA"/>
    <w:rsid w:val="00FE16C2"/>
    <w:rsid w:val="00FE7617"/>
    <w:rsid w:val="00FF0865"/>
    <w:rsid w:val="00FF2E60"/>
    <w:rsid w:val="00FF3786"/>
    <w:rsid w:val="01545A05"/>
    <w:rsid w:val="017E4959"/>
    <w:rsid w:val="0195485B"/>
    <w:rsid w:val="01CC7EBE"/>
    <w:rsid w:val="0213680B"/>
    <w:rsid w:val="025C0588"/>
    <w:rsid w:val="027069F0"/>
    <w:rsid w:val="02E24306"/>
    <w:rsid w:val="034054FF"/>
    <w:rsid w:val="035303EA"/>
    <w:rsid w:val="03A75EC1"/>
    <w:rsid w:val="04137DFA"/>
    <w:rsid w:val="04172AE7"/>
    <w:rsid w:val="04561783"/>
    <w:rsid w:val="05445D91"/>
    <w:rsid w:val="057E2F8C"/>
    <w:rsid w:val="05F8556D"/>
    <w:rsid w:val="06CE0008"/>
    <w:rsid w:val="07753B11"/>
    <w:rsid w:val="07854559"/>
    <w:rsid w:val="080A21AB"/>
    <w:rsid w:val="09054C73"/>
    <w:rsid w:val="09E8577D"/>
    <w:rsid w:val="0AFC1508"/>
    <w:rsid w:val="0B54276F"/>
    <w:rsid w:val="0B6A2900"/>
    <w:rsid w:val="0D304DED"/>
    <w:rsid w:val="0F8E02B3"/>
    <w:rsid w:val="10933121"/>
    <w:rsid w:val="10C53793"/>
    <w:rsid w:val="10D02B28"/>
    <w:rsid w:val="11190C14"/>
    <w:rsid w:val="11492001"/>
    <w:rsid w:val="12A32349"/>
    <w:rsid w:val="139461D3"/>
    <w:rsid w:val="14DA5630"/>
    <w:rsid w:val="14F2358D"/>
    <w:rsid w:val="154A236E"/>
    <w:rsid w:val="163273DD"/>
    <w:rsid w:val="1695644C"/>
    <w:rsid w:val="17373D6B"/>
    <w:rsid w:val="17967794"/>
    <w:rsid w:val="17E477CE"/>
    <w:rsid w:val="18304D96"/>
    <w:rsid w:val="19223E54"/>
    <w:rsid w:val="19E06D32"/>
    <w:rsid w:val="19E152F6"/>
    <w:rsid w:val="1D370008"/>
    <w:rsid w:val="1D9A07EC"/>
    <w:rsid w:val="1EA51F17"/>
    <w:rsid w:val="1EB72D31"/>
    <w:rsid w:val="1F344EC0"/>
    <w:rsid w:val="1F376766"/>
    <w:rsid w:val="1F4F1517"/>
    <w:rsid w:val="1F6A2E47"/>
    <w:rsid w:val="1F9D1B62"/>
    <w:rsid w:val="207B38A4"/>
    <w:rsid w:val="20A67346"/>
    <w:rsid w:val="211E63F3"/>
    <w:rsid w:val="217624E0"/>
    <w:rsid w:val="22903787"/>
    <w:rsid w:val="2351194D"/>
    <w:rsid w:val="241B0EE8"/>
    <w:rsid w:val="24F13C90"/>
    <w:rsid w:val="25911496"/>
    <w:rsid w:val="25A22B6D"/>
    <w:rsid w:val="2666041E"/>
    <w:rsid w:val="26F45411"/>
    <w:rsid w:val="28123473"/>
    <w:rsid w:val="2858276B"/>
    <w:rsid w:val="28C73F6C"/>
    <w:rsid w:val="28E70B7C"/>
    <w:rsid w:val="29147A26"/>
    <w:rsid w:val="295A01F2"/>
    <w:rsid w:val="29A12BA9"/>
    <w:rsid w:val="29D319BC"/>
    <w:rsid w:val="2A5F2BA2"/>
    <w:rsid w:val="2AE65071"/>
    <w:rsid w:val="2B577FD4"/>
    <w:rsid w:val="2B6A19FE"/>
    <w:rsid w:val="2BAF331A"/>
    <w:rsid w:val="2C2F3578"/>
    <w:rsid w:val="2C474C38"/>
    <w:rsid w:val="2D1C41B4"/>
    <w:rsid w:val="2E335172"/>
    <w:rsid w:val="2E345757"/>
    <w:rsid w:val="2E462CAA"/>
    <w:rsid w:val="2EF0203E"/>
    <w:rsid w:val="2F0064CE"/>
    <w:rsid w:val="2F9D45CB"/>
    <w:rsid w:val="31793E15"/>
    <w:rsid w:val="31A6555A"/>
    <w:rsid w:val="322E1E8E"/>
    <w:rsid w:val="32EF3BDD"/>
    <w:rsid w:val="32F753A0"/>
    <w:rsid w:val="33D97E69"/>
    <w:rsid w:val="349B6ECC"/>
    <w:rsid w:val="34CC3529"/>
    <w:rsid w:val="350F0E40"/>
    <w:rsid w:val="355D19F6"/>
    <w:rsid w:val="357B5E44"/>
    <w:rsid w:val="36BE6B9D"/>
    <w:rsid w:val="37152F66"/>
    <w:rsid w:val="38AF1198"/>
    <w:rsid w:val="3AD0169E"/>
    <w:rsid w:val="3AFB4A32"/>
    <w:rsid w:val="3B641183"/>
    <w:rsid w:val="3BA47065"/>
    <w:rsid w:val="3BD90122"/>
    <w:rsid w:val="3BF55345"/>
    <w:rsid w:val="3C744289"/>
    <w:rsid w:val="3CA0136A"/>
    <w:rsid w:val="3CF551E4"/>
    <w:rsid w:val="3D246484"/>
    <w:rsid w:val="3ED149D7"/>
    <w:rsid w:val="3F592ACC"/>
    <w:rsid w:val="3F9F121F"/>
    <w:rsid w:val="40226500"/>
    <w:rsid w:val="40392A66"/>
    <w:rsid w:val="40525E12"/>
    <w:rsid w:val="410246D0"/>
    <w:rsid w:val="412F731A"/>
    <w:rsid w:val="419017D5"/>
    <w:rsid w:val="42B64557"/>
    <w:rsid w:val="42BC698B"/>
    <w:rsid w:val="43670FED"/>
    <w:rsid w:val="436C3A58"/>
    <w:rsid w:val="446E4881"/>
    <w:rsid w:val="447B39C3"/>
    <w:rsid w:val="45B41036"/>
    <w:rsid w:val="460272CE"/>
    <w:rsid w:val="463F3955"/>
    <w:rsid w:val="475A2322"/>
    <w:rsid w:val="478453F7"/>
    <w:rsid w:val="47B577E3"/>
    <w:rsid w:val="47F22034"/>
    <w:rsid w:val="48BD62E3"/>
    <w:rsid w:val="48EB0F5F"/>
    <w:rsid w:val="49816239"/>
    <w:rsid w:val="499D2DD7"/>
    <w:rsid w:val="49DC3649"/>
    <w:rsid w:val="49E83750"/>
    <w:rsid w:val="49F50475"/>
    <w:rsid w:val="49F51014"/>
    <w:rsid w:val="4A5D532D"/>
    <w:rsid w:val="4AE42916"/>
    <w:rsid w:val="4BC046BB"/>
    <w:rsid w:val="4CC05FD9"/>
    <w:rsid w:val="4D4F0070"/>
    <w:rsid w:val="4D5B6740"/>
    <w:rsid w:val="4E5403C0"/>
    <w:rsid w:val="4FBB4F21"/>
    <w:rsid w:val="4FC40D64"/>
    <w:rsid w:val="4FFD564F"/>
    <w:rsid w:val="50533D91"/>
    <w:rsid w:val="50D25681"/>
    <w:rsid w:val="513D15DF"/>
    <w:rsid w:val="51906128"/>
    <w:rsid w:val="51CE0489"/>
    <w:rsid w:val="531165A4"/>
    <w:rsid w:val="5322283B"/>
    <w:rsid w:val="533A42D8"/>
    <w:rsid w:val="53A73D67"/>
    <w:rsid w:val="53E36D01"/>
    <w:rsid w:val="54B60D68"/>
    <w:rsid w:val="54F31FD7"/>
    <w:rsid w:val="552B02EF"/>
    <w:rsid w:val="56002BDB"/>
    <w:rsid w:val="566B5444"/>
    <w:rsid w:val="56BF4BB7"/>
    <w:rsid w:val="570A1F63"/>
    <w:rsid w:val="57513F1A"/>
    <w:rsid w:val="57CB15E3"/>
    <w:rsid w:val="583F2AD3"/>
    <w:rsid w:val="59201FD4"/>
    <w:rsid w:val="5A382944"/>
    <w:rsid w:val="5B3752F1"/>
    <w:rsid w:val="5B375BF9"/>
    <w:rsid w:val="5BCA156F"/>
    <w:rsid w:val="5BCD4A00"/>
    <w:rsid w:val="5C583771"/>
    <w:rsid w:val="5C586FB2"/>
    <w:rsid w:val="5C9D1184"/>
    <w:rsid w:val="5D2A6C8B"/>
    <w:rsid w:val="5D6677C8"/>
    <w:rsid w:val="5D7E72FC"/>
    <w:rsid w:val="5DC1720C"/>
    <w:rsid w:val="5E365F47"/>
    <w:rsid w:val="60617EB9"/>
    <w:rsid w:val="60A97348"/>
    <w:rsid w:val="60FD39FF"/>
    <w:rsid w:val="612B4FB0"/>
    <w:rsid w:val="61605860"/>
    <w:rsid w:val="6189365F"/>
    <w:rsid w:val="62CD2097"/>
    <w:rsid w:val="639E1C01"/>
    <w:rsid w:val="63BF40D6"/>
    <w:rsid w:val="640E2091"/>
    <w:rsid w:val="643E1DDB"/>
    <w:rsid w:val="65047D7F"/>
    <w:rsid w:val="670443D3"/>
    <w:rsid w:val="67375B0D"/>
    <w:rsid w:val="67413956"/>
    <w:rsid w:val="677D408C"/>
    <w:rsid w:val="67C15A2D"/>
    <w:rsid w:val="68C939A1"/>
    <w:rsid w:val="690F78D0"/>
    <w:rsid w:val="69ED63E0"/>
    <w:rsid w:val="6A444B62"/>
    <w:rsid w:val="6A7B25F3"/>
    <w:rsid w:val="6A86047B"/>
    <w:rsid w:val="6A993855"/>
    <w:rsid w:val="6B3F5966"/>
    <w:rsid w:val="6B562CE4"/>
    <w:rsid w:val="6CC162E3"/>
    <w:rsid w:val="6D5006D2"/>
    <w:rsid w:val="6D596B5B"/>
    <w:rsid w:val="6E405C45"/>
    <w:rsid w:val="6E5B1B57"/>
    <w:rsid w:val="6EFB1DBE"/>
    <w:rsid w:val="6FA504AC"/>
    <w:rsid w:val="701B0E2E"/>
    <w:rsid w:val="70F43664"/>
    <w:rsid w:val="7177675C"/>
    <w:rsid w:val="719A0B31"/>
    <w:rsid w:val="71B27477"/>
    <w:rsid w:val="71D13952"/>
    <w:rsid w:val="71E03B95"/>
    <w:rsid w:val="72026FF2"/>
    <w:rsid w:val="722E70AC"/>
    <w:rsid w:val="72E256EB"/>
    <w:rsid w:val="73C16B81"/>
    <w:rsid w:val="73D94D40"/>
    <w:rsid w:val="73E84F83"/>
    <w:rsid w:val="73F75D7E"/>
    <w:rsid w:val="74135C8B"/>
    <w:rsid w:val="75C952A3"/>
    <w:rsid w:val="774A6156"/>
    <w:rsid w:val="775E3EEC"/>
    <w:rsid w:val="77BB4597"/>
    <w:rsid w:val="788509CC"/>
    <w:rsid w:val="78A93900"/>
    <w:rsid w:val="78F91FCF"/>
    <w:rsid w:val="79B61ECB"/>
    <w:rsid w:val="7B080236"/>
    <w:rsid w:val="7C1114B5"/>
    <w:rsid w:val="7C7E14FD"/>
    <w:rsid w:val="7CBE0F77"/>
    <w:rsid w:val="7CCD2F68"/>
    <w:rsid w:val="7D1345FA"/>
    <w:rsid w:val="7E5232BE"/>
    <w:rsid w:val="7EF42A2E"/>
    <w:rsid w:val="7F592821"/>
    <w:rsid w:val="7F9831D5"/>
    <w:rsid w:val="7FA51F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596"/>
    <w:pPr>
      <w:widowControl w:val="0"/>
      <w:autoSpaceDE w:val="0"/>
      <w:autoSpaceDN w:val="0"/>
      <w:snapToGrid w:val="0"/>
      <w:spacing w:line="590" w:lineRule="atLeast"/>
      <w:ind w:firstLine="624"/>
      <w:jc w:val="both"/>
    </w:pPr>
    <w:rPr>
      <w:rFonts w:eastAsia="方正仿宋_GBK"/>
      <w:snapToGrid w:val="0"/>
      <w:sz w:val="32"/>
    </w:rPr>
  </w:style>
  <w:style w:type="paragraph" w:styleId="3">
    <w:name w:val="heading 3"/>
    <w:basedOn w:val="a"/>
    <w:next w:val="a"/>
    <w:semiHidden/>
    <w:unhideWhenUsed/>
    <w:qFormat/>
    <w:rsid w:val="007A1596"/>
    <w:pPr>
      <w:spacing w:beforeAutospacing="1" w:afterAutospacing="1"/>
      <w:jc w:val="left"/>
      <w:outlineLvl w:val="2"/>
    </w:pPr>
    <w:rPr>
      <w:rFonts w:ascii="宋体" w:eastAsia="宋体" w:hAnsi="宋体"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A1596"/>
    <w:pPr>
      <w:ind w:firstLineChars="200" w:firstLine="420"/>
    </w:pPr>
  </w:style>
  <w:style w:type="paragraph" w:styleId="a4">
    <w:name w:val="Body Text"/>
    <w:basedOn w:val="a"/>
    <w:qFormat/>
    <w:rsid w:val="007A1596"/>
    <w:pPr>
      <w:spacing w:after="120"/>
    </w:pPr>
  </w:style>
  <w:style w:type="paragraph" w:styleId="a5">
    <w:name w:val="footer"/>
    <w:basedOn w:val="a"/>
    <w:qFormat/>
    <w:rsid w:val="007A1596"/>
    <w:pPr>
      <w:tabs>
        <w:tab w:val="center" w:pos="4153"/>
        <w:tab w:val="right" w:pos="8306"/>
      </w:tabs>
      <w:jc w:val="left"/>
    </w:pPr>
    <w:rPr>
      <w:sz w:val="18"/>
    </w:rPr>
  </w:style>
  <w:style w:type="paragraph" w:styleId="a6">
    <w:name w:val="header"/>
    <w:basedOn w:val="a"/>
    <w:qFormat/>
    <w:rsid w:val="007A1596"/>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7">
    <w:name w:val="Normal (Web)"/>
    <w:basedOn w:val="a"/>
    <w:qFormat/>
    <w:rsid w:val="007A1596"/>
    <w:pPr>
      <w:autoSpaceDE/>
      <w:autoSpaceDN/>
      <w:snapToGrid/>
      <w:spacing w:before="100" w:beforeAutospacing="1" w:after="100" w:afterAutospacing="1" w:line="240" w:lineRule="auto"/>
      <w:ind w:firstLine="0"/>
      <w:jc w:val="left"/>
    </w:pPr>
    <w:rPr>
      <w:rFonts w:ascii="Calibri" w:eastAsia="宋体" w:hAnsi="Calibri"/>
      <w:snapToGrid/>
      <w:sz w:val="24"/>
      <w:szCs w:val="24"/>
    </w:rPr>
  </w:style>
  <w:style w:type="paragraph" w:styleId="a8">
    <w:name w:val="Body Text First Indent"/>
    <w:basedOn w:val="a4"/>
    <w:qFormat/>
    <w:rsid w:val="007A1596"/>
    <w:pPr>
      <w:ind w:firstLineChars="100" w:firstLine="420"/>
    </w:pPr>
  </w:style>
  <w:style w:type="table" w:styleId="a9">
    <w:name w:val="Table Grid"/>
    <w:basedOn w:val="a1"/>
    <w:qFormat/>
    <w:rsid w:val="007A15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qFormat/>
    <w:rsid w:val="007A1596"/>
    <w:rPr>
      <w:i/>
    </w:rPr>
  </w:style>
  <w:style w:type="character" w:styleId="ab">
    <w:name w:val="Hyperlink"/>
    <w:basedOn w:val="a0"/>
    <w:qFormat/>
    <w:rsid w:val="007A1596"/>
    <w:rPr>
      <w:color w:val="0000FF"/>
      <w:u w:val="single"/>
    </w:rPr>
  </w:style>
  <w:style w:type="paragraph" w:customStyle="1" w:styleId="1">
    <w:name w:val="标题1"/>
    <w:basedOn w:val="a"/>
    <w:next w:val="a"/>
    <w:qFormat/>
    <w:rsid w:val="007A1596"/>
    <w:pPr>
      <w:tabs>
        <w:tab w:val="left" w:pos="9193"/>
        <w:tab w:val="left" w:pos="9827"/>
      </w:tabs>
      <w:spacing w:line="700" w:lineRule="atLeast"/>
      <w:ind w:firstLine="0"/>
      <w:jc w:val="center"/>
    </w:pPr>
    <w:rPr>
      <w:rFonts w:eastAsia="方正小标宋_GBK"/>
      <w:sz w:val="44"/>
    </w:rPr>
  </w:style>
  <w:style w:type="paragraph" w:styleId="ac">
    <w:name w:val="List Paragraph"/>
    <w:basedOn w:val="a"/>
    <w:uiPriority w:val="99"/>
    <w:unhideWhenUsed/>
    <w:qFormat/>
    <w:rsid w:val="007A159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1807</Words>
  <Characters>10305</Characters>
  <Application>Microsoft Office Word</Application>
  <DocSecurity>0</DocSecurity>
  <Lines>85</Lines>
  <Paragraphs>24</Paragraphs>
  <ScaleCrop>false</ScaleCrop>
  <Company/>
  <LinksUpToDate>false</LinksUpToDate>
  <CharactersWithSpaces>12088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QTJ</dc:creator>
  <cp:lastModifiedBy>Administrator</cp:lastModifiedBy>
  <cp:revision>2</cp:revision>
  <dcterms:created xsi:type="dcterms:W3CDTF">2023-03-27T06:51:00Z</dcterms:created>
  <dcterms:modified xsi:type="dcterms:W3CDTF">2023-03-27T06:51:00Z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91C1B887E89541FA950765C58B43FA09</vt:lpwstr>
  </property>
</Properties>
</file>