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rPr>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黑体" w:hAnsi="黑体" w:eastAsia="黑体" w:cs="黑体"/>
                                <w:sz w:val="21"/>
                                <w:lang w:val="en-US" w:eastAsia="zh-CN"/>
                              </w:rPr>
                              <w:t>13.220.01</w:t>
                            </w:r>
                            <w:r>
                              <w:br w:type="textWrapping"/>
                            </w:r>
                            <w:r>
                              <w:rPr>
                                <w:rFonts w:hint="default" w:ascii="Times New Roman" w:hAnsi="Times New Roman" w:eastAsia="黑体" w:cs="Times New Roman"/>
                                <w:sz w:val="21"/>
                                <w:lang w:val="en-US" w:eastAsia="zh-CN"/>
                              </w:rPr>
                              <w:t>CCS</w:t>
                            </w:r>
                            <w:r>
                              <w:rPr>
                                <w:rFonts w:hint="eastAsia" w:ascii="Times New Roman" w:hAnsi="Times New Roman" w:eastAsia="黑体" w:cs="Times New Roman"/>
                              </w:rPr>
                              <w:tab/>
                            </w:r>
                            <w:r>
                              <w:rPr>
                                <w:rFonts w:hint="eastAsia" w:ascii="黑体" w:hAnsi="黑体" w:eastAsia="黑体" w:cs="黑体"/>
                                <w:sz w:val="21"/>
                                <w:lang w:val="en-US" w:eastAsia="zh-CN"/>
                              </w:rPr>
                              <w:t>C80</w:t>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59264;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rPr>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黑体" w:hAnsi="黑体" w:eastAsia="黑体" w:cs="黑体"/>
                          <w:sz w:val="21"/>
                          <w:lang w:val="en-US" w:eastAsia="zh-CN"/>
                        </w:rPr>
                        <w:t>13.220.01</w:t>
                      </w:r>
                      <w:r>
                        <w:br w:type="textWrapping"/>
                      </w:r>
                      <w:r>
                        <w:rPr>
                          <w:rFonts w:hint="default" w:ascii="Times New Roman" w:hAnsi="Times New Roman" w:eastAsia="黑体" w:cs="Times New Roman"/>
                          <w:sz w:val="21"/>
                          <w:lang w:val="en-US" w:eastAsia="zh-CN"/>
                        </w:rPr>
                        <w:t>CCS</w:t>
                      </w:r>
                      <w:r>
                        <w:rPr>
                          <w:rFonts w:hint="eastAsia" w:ascii="Times New Roman" w:hAnsi="Times New Roman" w:eastAsia="黑体" w:cs="Times New Roman"/>
                        </w:rPr>
                        <w:tab/>
                      </w:r>
                      <w:r>
                        <w:rPr>
                          <w:rFonts w:hint="eastAsia" w:ascii="黑体" w:hAnsi="黑体" w:eastAsia="黑体" w:cs="黑体"/>
                          <w:sz w:val="21"/>
                          <w:lang w:val="en-US" w:eastAsia="zh-CN"/>
                        </w:rPr>
                        <w:t>C80</w:t>
                      </w:r>
                      <w:r>
                        <w:br w:type="textWrapp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1214755</wp:posOffset>
                </wp:positionH>
                <wp:positionV relativeFrom="paragraph">
                  <wp:posOffset>52070</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Times New Roman" w:hAnsi="Times New Roman" w:cs="Times New Roman" w:eastAsiaTheme="minorEastAsia"/>
                                <w:sz w:val="84"/>
                                <w:szCs w:val="84"/>
                              </w:rPr>
                            </w:pPr>
                            <w:r>
                              <w:drawing>
                                <wp:inline distT="0" distB="0" distL="114935" distR="114935">
                                  <wp:extent cx="1028700" cy="466725"/>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26"/>
                                          <a:stretch>
                                            <a:fillRect/>
                                          </a:stretch>
                                        </pic:blipFill>
                                        <pic:spPr>
                                          <a:xfrm>
                                            <a:off x="0" y="0"/>
                                            <a:ext cx="1029060" cy="466884"/>
                                          </a:xfrm>
                                          <a:prstGeom prst="rect">
                                            <a:avLst/>
                                          </a:prstGeom>
                                        </pic:spPr>
                                      </pic:pic>
                                    </a:graphicData>
                                  </a:graphic>
                                </wp:inline>
                              </w:drawing>
                            </w:r>
                            <w:r>
                              <w:rPr>
                                <w:rFonts w:hint="eastAsia" w:ascii="Times New Roman" w:hAnsi="Times New Roman" w:cs="Times New Roman"/>
                                <w:b/>
                                <w:bCs/>
                                <w:sz w:val="112"/>
                                <w:szCs w:val="112"/>
                              </w:rPr>
                              <w:t>3206</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4.1pt;height:69.5pt;width:356.2pt;z-index:251660288;mso-width-relative:page;mso-height-relative:page;" filled="f" stroked="f" coordsize="21600,21600" o:gfxdata="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PaX8dcAAAAJAQAADwAAAAAAAAAB&#10;ACAAAAAiAAAAZHJzL2Rvd25yZXYueG1sUEsBAhQAFAAAAAgAh07iQHgMgElKAgAAdgQAAA4AAAAA&#10;AAAAAQAgAAAAJgEAAGRycy9lMm9Eb2MueG1sUEsFBgAAAAAGAAYAWQEAAOIFAAAAAA==&#10;">
                <v:fill on="f" focussize="0,0"/>
                <v:stroke on="f" weight="0.5pt"/>
                <v:imagedata o:title=""/>
                <o:lock v:ext="edit" aspectratio="f"/>
                <v:textbox inset="0mm,0mm,0mm,0mm">
                  <w:txbxContent>
                    <w:p>
                      <w:pPr>
                        <w:jc w:val="right"/>
                        <w:rPr>
                          <w:rFonts w:hint="default" w:ascii="Times New Roman" w:hAnsi="Times New Roman" w:cs="Times New Roman" w:eastAsiaTheme="minorEastAsia"/>
                          <w:sz w:val="84"/>
                          <w:szCs w:val="84"/>
                        </w:rPr>
                      </w:pPr>
                      <w:r>
                        <w:drawing>
                          <wp:inline distT="0" distB="0" distL="114935" distR="114935">
                            <wp:extent cx="1028700" cy="466725"/>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26"/>
                                    <a:stretch>
                                      <a:fillRect/>
                                    </a:stretch>
                                  </pic:blipFill>
                                  <pic:spPr>
                                    <a:xfrm>
                                      <a:off x="0" y="0"/>
                                      <a:ext cx="1029060" cy="466884"/>
                                    </a:xfrm>
                                    <a:prstGeom prst="rect">
                                      <a:avLst/>
                                    </a:prstGeom>
                                  </pic:spPr>
                                </pic:pic>
                              </a:graphicData>
                            </a:graphic>
                          </wp:inline>
                        </w:drawing>
                      </w:r>
                      <w:r>
                        <w:rPr>
                          <w:rFonts w:hint="eastAsia" w:ascii="Times New Roman" w:hAnsi="Times New Roman" w:cs="Times New Roman"/>
                          <w:b/>
                          <w:bCs/>
                          <w:sz w:val="112"/>
                          <w:szCs w:val="112"/>
                        </w:rPr>
                        <w:t>3206</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distribute"/>
                              <w:textAlignment w:val="auto"/>
                              <w:rPr>
                                <w:rFonts w:hint="default"/>
                                <w:lang w:val="en-US"/>
                              </w:rPr>
                            </w:pPr>
                            <w:r>
                              <w:rPr>
                                <w:rFonts w:hint="eastAsia" w:ascii="黑体" w:hAnsi="黑体" w:eastAsia="黑体" w:cs="黑体"/>
                                <w:b w:val="0"/>
                                <w:bCs w:val="0"/>
                                <w:w w:val="100"/>
                                <w:sz w:val="51"/>
                                <w:szCs w:val="51"/>
                                <w:lang w:val="en-US" w:eastAsia="zh-CN"/>
                              </w:rPr>
                              <w:t>南通市地方标准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0288;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val="0"/>
                        <w:snapToGrid w:val="0"/>
                        <w:jc w:val="distribute"/>
                        <w:textAlignment w:val="auto"/>
                        <w:rPr>
                          <w:rFonts w:hint="default"/>
                          <w:lang w:val="en-US"/>
                        </w:rPr>
                      </w:pPr>
                      <w:r>
                        <w:rPr>
                          <w:rFonts w:hint="eastAsia" w:ascii="黑体" w:hAnsi="黑体" w:eastAsia="黑体" w:cs="黑体"/>
                          <w:b w:val="0"/>
                          <w:bCs w:val="0"/>
                          <w:w w:val="100"/>
                          <w:sz w:val="51"/>
                          <w:szCs w:val="51"/>
                          <w:lang w:val="en-US" w:eastAsia="zh-CN"/>
                        </w:rPr>
                        <w:t>南通市地方标准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DB3206/T XXXX—2024</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0288;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DB3206/T XXXX—2024</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val="0"/>
                              <w:snapToGrid w:val="0"/>
                              <w:jc w:val="righ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1312;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pPr>
                        <w:keepNext w:val="0"/>
                        <w:keepLines w:val="0"/>
                        <w:pageBreakBefore w:val="0"/>
                        <w:widowControl w:val="0"/>
                        <w:kinsoku/>
                        <w:wordWrap/>
                        <w:overflowPunct/>
                        <w:topLinePunct w:val="0"/>
                        <w:autoSpaceDE/>
                        <w:autoSpaceDN/>
                        <w:bidi w:val="0"/>
                        <w:adjustRightInd w:val="0"/>
                        <w:snapToGrid w:val="0"/>
                        <w:jc w:val="right"/>
                        <w:textAlignment w:val="auto"/>
                        <w:rPr>
                          <w:rFonts w:hint="default"/>
                          <w:lang w:val="en-US"/>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5408;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电动自行车消防安全管理规范</w:t>
                            </w:r>
                          </w:p>
                          <w:p>
                            <w:pPr>
                              <w:keepNext w:val="0"/>
                              <w:keepLines w:val="0"/>
                              <w:pageBreakBefore w:val="0"/>
                              <w:widowControl w:val="0"/>
                              <w:kinsoku/>
                              <w:wordWrap/>
                              <w:overflowPunct/>
                              <w:topLinePunct w:val="0"/>
                              <w:autoSpaceDE/>
                              <w:autoSpaceDN/>
                              <w:bidi w:val="0"/>
                              <w:adjustRightInd w:val="0"/>
                              <w:snapToGrid w:val="0"/>
                              <w:spacing w:before="370" w:line="400" w:lineRule="exact"/>
                              <w:jc w:val="center"/>
                              <w:textAlignment w:val="auto"/>
                              <w:rPr>
                                <w:rFonts w:hint="default" w:ascii="Times New Roman" w:hAnsi="Times New Roman" w:cs="Times New Roman"/>
                                <w:sz w:val="28"/>
                                <w:szCs w:val="28"/>
                              </w:rPr>
                            </w:pPr>
                          </w:p>
                          <w:p>
                            <w:pPr>
                              <w:spacing w:before="640" w:line="400" w:lineRule="exact"/>
                              <w:jc w:val="center"/>
                              <w:textAlignment w:val="auto"/>
                              <w:rPr>
                                <w:rFonts w:hint="default" w:ascii="Times New Roman" w:hAnsi="Times New Roman" w:cs="Times New Roman"/>
                                <w:b w:val="0"/>
                                <w:bCs w:val="0"/>
                                <w:sz w:val="28"/>
                                <w:szCs w:val="28"/>
                              </w:rPr>
                            </w:pPr>
                          </w:p>
                          <w:p>
                            <w:pPr>
                              <w:spacing w:before="500" w:after="240" w:line="400" w:lineRule="exact"/>
                              <w:jc w:val="center"/>
                              <w:textAlignment w:val="auto"/>
                              <w:rPr>
                                <w:rFonts w:hint="default" w:ascii="宋体" w:hAnsi="宋体" w:eastAsia="宋体" w:cs="宋体"/>
                                <w:b w:val="0"/>
                                <w:bCs w:val="0"/>
                                <w:sz w:val="24"/>
                                <w:szCs w:val="24"/>
                                <w:lang w:val="en-US" w:eastAsia="zh-CN"/>
                              </w:rPr>
                            </w:pPr>
                            <w:r>
                              <w:br w:type="textWrapping"/>
                            </w:r>
                          </w:p>
                          <w:p>
                            <w:pPr>
                              <w:spacing w:before="567"/>
                              <w:jc w:val="center"/>
                              <w:textAlignment w:val="auto"/>
                              <w:rPr>
                                <w:rFonts w:hint="default" w:ascii="宋体" w:hAnsi="宋体" w:eastAsia="宋体" w:cs="宋体"/>
                                <w:b w:val="0"/>
                                <w:bCs w:val="0"/>
                                <w:sz w:val="24"/>
                                <w:szCs w:val="24"/>
                                <w:lang w:val="en-US" w:eastAsia="zh-CN"/>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2336;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电动自行车消防安全管理规范</w:t>
                      </w:r>
                    </w:p>
                    <w:p>
                      <w:pPr>
                        <w:keepNext w:val="0"/>
                        <w:keepLines w:val="0"/>
                        <w:pageBreakBefore w:val="0"/>
                        <w:widowControl w:val="0"/>
                        <w:kinsoku/>
                        <w:wordWrap/>
                        <w:overflowPunct/>
                        <w:topLinePunct w:val="0"/>
                        <w:autoSpaceDE/>
                        <w:autoSpaceDN/>
                        <w:bidi w:val="0"/>
                        <w:adjustRightInd w:val="0"/>
                        <w:snapToGrid w:val="0"/>
                        <w:spacing w:before="370" w:line="400" w:lineRule="exact"/>
                        <w:jc w:val="center"/>
                        <w:textAlignment w:val="auto"/>
                        <w:rPr>
                          <w:rFonts w:hint="default" w:ascii="Times New Roman" w:hAnsi="Times New Roman" w:cs="Times New Roman"/>
                          <w:sz w:val="28"/>
                          <w:szCs w:val="28"/>
                        </w:rPr>
                      </w:pPr>
                    </w:p>
                    <w:p>
                      <w:pPr>
                        <w:spacing w:before="640" w:line="400" w:lineRule="exact"/>
                        <w:jc w:val="center"/>
                        <w:textAlignment w:val="auto"/>
                        <w:rPr>
                          <w:rFonts w:hint="default" w:ascii="Times New Roman" w:hAnsi="Times New Roman" w:cs="Times New Roman"/>
                          <w:b w:val="0"/>
                          <w:bCs w:val="0"/>
                          <w:sz w:val="28"/>
                          <w:szCs w:val="28"/>
                        </w:rPr>
                      </w:pPr>
                    </w:p>
                    <w:p>
                      <w:pPr>
                        <w:spacing w:before="500" w:after="240" w:line="400" w:lineRule="exact"/>
                        <w:jc w:val="center"/>
                        <w:textAlignment w:val="auto"/>
                        <w:rPr>
                          <w:rFonts w:hint="default" w:ascii="宋体" w:hAnsi="宋体" w:eastAsia="宋体" w:cs="宋体"/>
                          <w:b w:val="0"/>
                          <w:bCs w:val="0"/>
                          <w:sz w:val="24"/>
                          <w:szCs w:val="24"/>
                          <w:lang w:val="en-US" w:eastAsia="zh-CN"/>
                        </w:rPr>
                      </w:pPr>
                      <w:r>
                        <w:br w:type="textWrapping"/>
                      </w:r>
                    </w:p>
                    <w:p>
                      <w:pPr>
                        <w:spacing w:before="567"/>
                        <w:jc w:val="center"/>
                        <w:textAlignment w:val="auto"/>
                        <w:rPr>
                          <w:rFonts w:hint="default" w:ascii="宋体" w:hAnsi="宋体" w:eastAsia="宋体" w:cs="宋体"/>
                          <w:b w:val="0"/>
                          <w:bCs w:val="0"/>
                          <w:sz w:val="24"/>
                          <w:szCs w:val="24"/>
                          <w:lang w:val="en-US" w:eastAsia="zh-CN"/>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6432;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XXXX-XX-XX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3360;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XXXX-XX-XX 发布</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lang w:val="en-US"/>
                              </w:rPr>
                            </w:pPr>
                            <w:r>
                              <w:rPr>
                                <w:rFonts w:hint="eastAsia" w:ascii="黑体" w:hAnsi="黑体" w:eastAsia="黑体" w:cs="黑体"/>
                                <w:sz w:val="28"/>
                              </w:rPr>
                              <w:t>XXXX-XX-XX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4384;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pPr>
                        <w:jc w:val="right"/>
                        <w:rPr>
                          <w:rFonts w:hint="default"/>
                          <w:lang w:val="en-US"/>
                        </w:rPr>
                      </w:pPr>
                      <w:r>
                        <w:rPr>
                          <w:rFonts w:hint="eastAsia" w:ascii="黑体" w:hAnsi="黑体" w:eastAsia="黑体" w:cs="黑体"/>
                          <w:sz w:val="28"/>
                        </w:rPr>
                        <w:t>XXXX-XX-XX 实施</w:t>
                      </w:r>
                    </w:p>
                  </w:txbxContent>
                </v:textbox>
              </v:shape>
            </w:pict>
          </mc:Fallback>
        </mc:AlternateContent>
      </w:r>
    </w:p>
    <w:p>
      <w:pPr>
        <w:sectPr>
          <w:pgSz w:w="11906" w:h="16838"/>
          <w:pgMar w:top="567" w:right="850" w:bottom="1111" w:left="1417" w:header="850" w:footer="850" w:gutter="0"/>
          <w:cols w:space="425" w:num="1"/>
          <w:docGrid w:type="lines" w:linePitch="312" w:charSpace="0"/>
        </w:sectPr>
      </w:pPr>
      <w:bookmarkStart w:id="24" w:name="_GoBack"/>
      <w:bookmarkEnd w:id="24"/>
    </w:p>
    <w:p>
      <w:pPr>
        <w:pStyle w:val="34"/>
      </w:pPr>
      <w:r>
        <w:rPr>
          <w:rFonts w:hint="eastAsia" w:ascii="黑体" w:hAnsi="黑体" w:eastAsia="黑体" w:cs="黑体"/>
        </w:rPr>
        <w:t>目</w:t>
      </w:r>
      <w:r>
        <w:rPr>
          <w:rFonts w:hint="eastAsia" w:ascii="MS Mincho" w:hAnsi="MS Mincho" w:eastAsia="MS Mincho" w:cs="MS Mincho"/>
        </w:rPr>
        <w:t>  </w:t>
      </w:r>
      <w:r>
        <w:rPr>
          <w:rFonts w:hint="eastAsia" w:ascii="黑体" w:hAnsi="黑体" w:eastAsia="黑体" w:cs="黑体"/>
        </w:rPr>
        <w:t>次</w:t>
      </w:r>
    </w:p>
    <w:p>
      <w:pPr>
        <w:pStyle w:val="36"/>
        <w:bidi w:val="0"/>
      </w:pPr>
      <w:r>
        <w:fldChar w:fldCharType="begin"/>
      </w:r>
      <w:r>
        <w:rPr>
          <w:rFonts w:hint="eastAsia"/>
        </w:rPr>
        <w:instrText xml:space="preserve">TOC \o "1-3" \h \z \u \* MERGEFORMAT</w:instrText>
      </w:r>
      <w:r>
        <w:fldChar w:fldCharType="separate"/>
      </w:r>
      <w:r>
        <w:fldChar w:fldCharType="begin"/>
      </w:r>
      <w:r>
        <w:instrText xml:space="preserve">HYPERLINK \l "_Toc7e0138e1-d5e9-4097-810b-444f1e5fbd64" </w:instrText>
      </w:r>
      <w:r>
        <w:fldChar w:fldCharType="separate"/>
      </w:r>
      <w:r>
        <w:rPr>
          <w:rStyle w:val="19"/>
          <w:rFonts w:hAnsi="黑体" w:cs="黑体"/>
        </w:rPr>
        <w:t>前言</w:t>
      </w:r>
      <w:r>
        <w:tab/>
      </w:r>
      <w:r>
        <w:fldChar w:fldCharType="begin"/>
      </w:r>
      <w:r>
        <w:instrText xml:space="preserve">PAGEREF _Toc7e0138e1-d5e9-4097-810b-444f1e5fbd64 \h </w:instrText>
      </w:r>
      <w:r>
        <w:fldChar w:fldCharType="separate"/>
      </w:r>
      <w:r>
        <w:t>Ⅱ</w:t>
      </w:r>
      <w:r>
        <w:fldChar w:fldCharType="end"/>
      </w:r>
      <w:r>
        <w:fldChar w:fldCharType="end"/>
      </w:r>
    </w:p>
    <w:p>
      <w:pPr>
        <w:pStyle w:val="36"/>
        <w:bidi w:val="0"/>
      </w:pPr>
      <w:r>
        <w:fldChar w:fldCharType="begin"/>
      </w:r>
      <w:r>
        <w:instrText xml:space="preserve">HYPERLINK \l "_Tocb06f00fe-9933-4ba2-9ccb-454b2ce77642" </w:instrText>
      </w:r>
      <w:r>
        <w:fldChar w:fldCharType="separate"/>
      </w:r>
      <w:r>
        <w:rPr>
          <w:rStyle w:val="19"/>
          <w:rFonts w:hAnsi="黑体" w:cs="黑体"/>
        </w:rPr>
        <w:t>1 范围</w:t>
      </w:r>
      <w:r>
        <w:tab/>
      </w:r>
      <w:r>
        <w:fldChar w:fldCharType="begin"/>
      </w:r>
      <w:r>
        <w:instrText xml:space="preserve">PAGEREF _Tocb06f00fe-9933-4ba2-9ccb-454b2ce77642 \h </w:instrText>
      </w:r>
      <w:r>
        <w:fldChar w:fldCharType="separate"/>
      </w:r>
      <w:r>
        <w:t>1</w:t>
      </w:r>
      <w:r>
        <w:fldChar w:fldCharType="end"/>
      </w:r>
      <w:r>
        <w:fldChar w:fldCharType="end"/>
      </w:r>
    </w:p>
    <w:p>
      <w:pPr>
        <w:pStyle w:val="36"/>
        <w:bidi w:val="0"/>
      </w:pPr>
      <w:r>
        <w:fldChar w:fldCharType="begin"/>
      </w:r>
      <w:r>
        <w:instrText xml:space="preserve">HYPERLINK \l "_Toc08bf5c5a-0ea9-4fba-b5a7-387327785340" </w:instrText>
      </w:r>
      <w:r>
        <w:fldChar w:fldCharType="separate"/>
      </w:r>
      <w:r>
        <w:rPr>
          <w:rStyle w:val="19"/>
          <w:rFonts w:hAnsi="黑体" w:cs="黑体"/>
        </w:rPr>
        <w:t>2 规范性引用文件</w:t>
      </w:r>
      <w:r>
        <w:tab/>
      </w:r>
      <w:r>
        <w:fldChar w:fldCharType="begin"/>
      </w:r>
      <w:r>
        <w:instrText xml:space="preserve">PAGEREF _Toc08bf5c5a-0ea9-4fba-b5a7-387327785340 \h </w:instrText>
      </w:r>
      <w:r>
        <w:fldChar w:fldCharType="separate"/>
      </w:r>
      <w:r>
        <w:t>2</w:t>
      </w:r>
      <w:r>
        <w:fldChar w:fldCharType="end"/>
      </w:r>
      <w:r>
        <w:fldChar w:fldCharType="end"/>
      </w:r>
    </w:p>
    <w:p>
      <w:pPr>
        <w:pStyle w:val="36"/>
        <w:bidi w:val="0"/>
      </w:pPr>
      <w:r>
        <w:fldChar w:fldCharType="begin"/>
      </w:r>
      <w:r>
        <w:instrText xml:space="preserve">HYPERLINK \l "_Tocf71ba77e-7dde-4b33-8283-0c25a1a9e4c4" </w:instrText>
      </w:r>
      <w:r>
        <w:fldChar w:fldCharType="separate"/>
      </w:r>
      <w:r>
        <w:rPr>
          <w:rStyle w:val="19"/>
          <w:rFonts w:hAnsi="黑体" w:cs="黑体"/>
        </w:rPr>
        <w:t>3 术语和定义</w:t>
      </w:r>
      <w:r>
        <w:tab/>
      </w:r>
      <w:r>
        <w:fldChar w:fldCharType="begin"/>
      </w:r>
      <w:r>
        <w:instrText xml:space="preserve">PAGEREF _Tocf71ba77e-7dde-4b33-8283-0c25a1a9e4c4 \h </w:instrText>
      </w:r>
      <w:r>
        <w:fldChar w:fldCharType="separate"/>
      </w:r>
      <w:r>
        <w:t>3</w:t>
      </w:r>
      <w:r>
        <w:fldChar w:fldCharType="end"/>
      </w:r>
      <w:r>
        <w:fldChar w:fldCharType="end"/>
      </w:r>
    </w:p>
    <w:p>
      <w:pPr>
        <w:pStyle w:val="36"/>
        <w:bidi w:val="0"/>
      </w:pPr>
      <w:r>
        <w:fldChar w:fldCharType="begin"/>
      </w:r>
      <w:r>
        <w:instrText xml:space="preserve">HYPERLINK \l "_Toc79bb600d-0f83-413f-8498-ab56cf5f8094" </w:instrText>
      </w:r>
      <w:r>
        <w:fldChar w:fldCharType="separate"/>
      </w:r>
      <w:r>
        <w:rPr>
          <w:rStyle w:val="19"/>
          <w:rFonts w:hAnsi="黑体" w:cs="黑体"/>
        </w:rPr>
        <w:t>4 总则</w:t>
      </w:r>
      <w:r>
        <w:tab/>
      </w:r>
      <w:r>
        <w:fldChar w:fldCharType="begin"/>
      </w:r>
      <w:r>
        <w:instrText xml:space="preserve">PAGEREF _Toc79bb600d-0f83-413f-8498-ab56cf5f8094 \h </w:instrText>
      </w:r>
      <w:r>
        <w:fldChar w:fldCharType="separate"/>
      </w:r>
      <w:r>
        <w:t>4</w:t>
      </w:r>
      <w:r>
        <w:fldChar w:fldCharType="end"/>
      </w:r>
      <w:r>
        <w:fldChar w:fldCharType="end"/>
      </w:r>
    </w:p>
    <w:p>
      <w:pPr>
        <w:pStyle w:val="36"/>
        <w:bidi w:val="0"/>
      </w:pPr>
      <w:r>
        <w:fldChar w:fldCharType="begin"/>
      </w:r>
      <w:r>
        <w:instrText xml:space="preserve">HYPERLINK \l "_Toc6983c752-2e35-46a4-9a3c-1ae1a3b11606" </w:instrText>
      </w:r>
      <w:r>
        <w:fldChar w:fldCharType="separate"/>
      </w:r>
      <w:r>
        <w:rPr>
          <w:rStyle w:val="19"/>
          <w:rFonts w:hAnsi="黑体" w:cs="黑体"/>
        </w:rPr>
        <w:t>5 使用</w:t>
      </w:r>
      <w:r>
        <w:tab/>
      </w:r>
      <w:r>
        <w:fldChar w:fldCharType="begin"/>
      </w:r>
      <w:r>
        <w:instrText xml:space="preserve">PAGEREF _Toc6983c752-2e35-46a4-9a3c-1ae1a3b11606 \h </w:instrText>
      </w:r>
      <w:r>
        <w:fldChar w:fldCharType="separate"/>
      </w:r>
      <w:r>
        <w:t>5</w:t>
      </w:r>
      <w:r>
        <w:fldChar w:fldCharType="end"/>
      </w:r>
      <w:r>
        <w:fldChar w:fldCharType="end"/>
      </w:r>
    </w:p>
    <w:p>
      <w:pPr>
        <w:pStyle w:val="36"/>
        <w:bidi w:val="0"/>
      </w:pPr>
      <w:r>
        <w:fldChar w:fldCharType="begin"/>
      </w:r>
      <w:r>
        <w:instrText xml:space="preserve">HYPERLINK \l "_Tocf9398fd6-90d5-491d-a75f-41f750549446" </w:instrText>
      </w:r>
      <w:r>
        <w:fldChar w:fldCharType="separate"/>
      </w:r>
      <w:r>
        <w:rPr>
          <w:rStyle w:val="19"/>
          <w:rFonts w:hAnsi="黑体" w:cs="黑体"/>
        </w:rPr>
        <w:t>6 停放</w:t>
      </w:r>
      <w:r>
        <w:tab/>
      </w:r>
      <w:r>
        <w:fldChar w:fldCharType="begin"/>
      </w:r>
      <w:r>
        <w:instrText xml:space="preserve">PAGEREF _Tocf9398fd6-90d5-491d-a75f-41f750549446 \h </w:instrText>
      </w:r>
      <w:r>
        <w:fldChar w:fldCharType="separate"/>
      </w:r>
      <w:r>
        <w:t>6</w:t>
      </w:r>
      <w:r>
        <w:fldChar w:fldCharType="end"/>
      </w:r>
      <w:r>
        <w:fldChar w:fldCharType="end"/>
      </w:r>
    </w:p>
    <w:p>
      <w:pPr>
        <w:pStyle w:val="36"/>
        <w:bidi w:val="0"/>
      </w:pPr>
      <w:r>
        <w:fldChar w:fldCharType="begin"/>
      </w:r>
      <w:r>
        <w:instrText xml:space="preserve">HYPERLINK \l "_Toc04434b63-4b18-43be-92a1-a4f8ad016815" </w:instrText>
      </w:r>
      <w:r>
        <w:fldChar w:fldCharType="separate"/>
      </w:r>
      <w:r>
        <w:rPr>
          <w:rStyle w:val="19"/>
          <w:rFonts w:hAnsi="黑体" w:cs="黑体"/>
        </w:rPr>
        <w:t>7 充电</w:t>
      </w:r>
      <w:r>
        <w:tab/>
      </w:r>
      <w:r>
        <w:fldChar w:fldCharType="begin"/>
      </w:r>
      <w:r>
        <w:instrText xml:space="preserve">PAGEREF _Toc04434b63-4b18-43be-92a1-a4f8ad016815 \h </w:instrText>
      </w:r>
      <w:r>
        <w:fldChar w:fldCharType="separate"/>
      </w:r>
      <w:r>
        <w:t>7</w:t>
      </w:r>
      <w:r>
        <w:fldChar w:fldCharType="end"/>
      </w:r>
      <w:r>
        <w:fldChar w:fldCharType="end"/>
      </w:r>
    </w:p>
    <w:p>
      <w:pPr>
        <w:pStyle w:val="36"/>
        <w:bidi w:val="0"/>
      </w:pPr>
      <w:r>
        <w:fldChar w:fldCharType="begin"/>
      </w:r>
      <w:r>
        <w:instrText xml:space="preserve">HYPERLINK \l "_Toc1e65ee3b-b0d7-47b2-b7ad-fff1dfbd9c3c" </w:instrText>
      </w:r>
      <w:r>
        <w:fldChar w:fldCharType="separate"/>
      </w:r>
      <w:r>
        <w:rPr>
          <w:rStyle w:val="19"/>
          <w:rFonts w:hAnsi="黑体" w:cs="黑体"/>
        </w:rPr>
        <w:t>8 维护保养</w:t>
      </w:r>
      <w:r>
        <w:tab/>
      </w:r>
      <w:r>
        <w:fldChar w:fldCharType="begin"/>
      </w:r>
      <w:r>
        <w:instrText xml:space="preserve">PAGEREF _Toc1e65ee3b-b0d7-47b2-b7ad-fff1dfbd9c3c \h </w:instrText>
      </w:r>
      <w:r>
        <w:fldChar w:fldCharType="separate"/>
      </w:r>
      <w:r>
        <w:t>8</w:t>
      </w:r>
      <w:r>
        <w:fldChar w:fldCharType="end"/>
      </w:r>
      <w:r>
        <w:fldChar w:fldCharType="end"/>
      </w:r>
    </w:p>
    <w:p>
      <w:pPr>
        <w:pStyle w:val="36"/>
        <w:bidi w:val="0"/>
      </w:pPr>
      <w:r>
        <w:fldChar w:fldCharType="begin"/>
      </w:r>
      <w:r>
        <w:instrText xml:space="preserve">HYPERLINK \l "_Toce0fc57ca-18b9-4699-a1a6-af205cfb370e" </w:instrText>
      </w:r>
      <w:r>
        <w:fldChar w:fldCharType="separate"/>
      </w:r>
      <w:r>
        <w:rPr>
          <w:rStyle w:val="19"/>
          <w:rFonts w:hAnsi="黑体" w:cs="黑体"/>
        </w:rPr>
        <w:t>9 电动自行车停放充电场所</w:t>
      </w:r>
      <w:r>
        <w:tab/>
      </w:r>
      <w:r>
        <w:fldChar w:fldCharType="begin"/>
      </w:r>
      <w:r>
        <w:instrText xml:space="preserve">PAGEREF _Toce0fc57ca-18b9-4699-a1a6-af205cfb370e \h </w:instrText>
      </w:r>
      <w:r>
        <w:fldChar w:fldCharType="separate"/>
      </w:r>
      <w:r>
        <w:t>9</w:t>
      </w:r>
      <w:r>
        <w:fldChar w:fldCharType="end"/>
      </w:r>
      <w:r>
        <w:fldChar w:fldCharType="end"/>
      </w:r>
    </w:p>
    <w:p>
      <w:pPr>
        <w:pStyle w:val="37"/>
        <w:bidi w:val="0"/>
      </w:pPr>
      <w:r>
        <w:fldChar w:fldCharType="begin"/>
      </w:r>
      <w:r>
        <w:instrText xml:space="preserve">HYPERLINK \l "_Toc1071fb5f-816b-4bd9-951b-814983e3df93" </w:instrText>
      </w:r>
      <w:r>
        <w:fldChar w:fldCharType="separate"/>
      </w:r>
      <w:r>
        <w:rPr>
          <w:rStyle w:val="19"/>
          <w:rFonts w:hAnsi="黑体" w:cs="黑体"/>
        </w:rPr>
        <w:t>9.1 一般规定</w:t>
      </w:r>
      <w:r>
        <w:tab/>
      </w:r>
      <w:r>
        <w:fldChar w:fldCharType="begin"/>
      </w:r>
      <w:r>
        <w:instrText xml:space="preserve">PAGEREF _Toc1071fb5f-816b-4bd9-951b-814983e3df93 \h </w:instrText>
      </w:r>
      <w:r>
        <w:fldChar w:fldCharType="separate"/>
      </w:r>
      <w:r>
        <w:t>9</w:t>
      </w:r>
      <w:r>
        <w:fldChar w:fldCharType="end"/>
      </w:r>
      <w:r>
        <w:fldChar w:fldCharType="end"/>
      </w:r>
    </w:p>
    <w:p>
      <w:pPr>
        <w:pStyle w:val="37"/>
        <w:bidi w:val="0"/>
      </w:pPr>
      <w:r>
        <w:fldChar w:fldCharType="begin"/>
      </w:r>
      <w:r>
        <w:instrText xml:space="preserve">HYPERLINK \l "_Toc6d66719d-5399-4710-a2f2-84dc07940117" </w:instrText>
      </w:r>
      <w:r>
        <w:fldChar w:fldCharType="separate"/>
      </w:r>
      <w:r>
        <w:rPr>
          <w:rStyle w:val="19"/>
          <w:rFonts w:hAnsi="黑体" w:cs="黑体"/>
        </w:rPr>
        <w:t>9.2 充（换）电柜</w:t>
      </w:r>
      <w:r>
        <w:tab/>
      </w:r>
      <w:r>
        <w:fldChar w:fldCharType="begin"/>
      </w:r>
      <w:r>
        <w:instrText xml:space="preserve">PAGEREF _Toc6d66719d-5399-4710-a2f2-84dc07940117 \h </w:instrText>
      </w:r>
      <w:r>
        <w:fldChar w:fldCharType="separate"/>
      </w:r>
      <w:r>
        <w:t>9</w:t>
      </w:r>
      <w:r>
        <w:fldChar w:fldCharType="end"/>
      </w:r>
      <w:r>
        <w:fldChar w:fldCharType="end"/>
      </w:r>
    </w:p>
    <w:p>
      <w:pPr>
        <w:pStyle w:val="37"/>
        <w:bidi w:val="0"/>
      </w:pPr>
      <w:r>
        <w:fldChar w:fldCharType="begin"/>
      </w:r>
      <w:r>
        <w:instrText xml:space="preserve">HYPERLINK \l "_Toc0ad8a985-0832-41ff-a579-728a5d1d6e2f" </w:instrText>
      </w:r>
      <w:r>
        <w:fldChar w:fldCharType="separate"/>
      </w:r>
      <w:r>
        <w:rPr>
          <w:rStyle w:val="19"/>
          <w:rFonts w:hAnsi="黑体" w:cs="黑体"/>
        </w:rPr>
        <w:t>9.3 电动自行车充（换）电站</w:t>
      </w:r>
      <w:r>
        <w:tab/>
      </w:r>
      <w:r>
        <w:fldChar w:fldCharType="begin"/>
      </w:r>
      <w:r>
        <w:instrText xml:space="preserve">PAGEREF _Toc0ad8a985-0832-41ff-a579-728a5d1d6e2f \h </w:instrText>
      </w:r>
      <w:r>
        <w:fldChar w:fldCharType="separate"/>
      </w:r>
      <w:r>
        <w:t>9</w:t>
      </w:r>
      <w:r>
        <w:fldChar w:fldCharType="end"/>
      </w:r>
      <w:r>
        <w:fldChar w:fldCharType="end"/>
      </w:r>
    </w:p>
    <w:p>
      <w:pPr>
        <w:pStyle w:val="37"/>
        <w:bidi w:val="0"/>
      </w:pPr>
      <w:r>
        <w:fldChar w:fldCharType="begin"/>
      </w:r>
      <w:r>
        <w:instrText xml:space="preserve">HYPERLINK \l "_Toc0cda6f65-9b68-4ce8-bc36-a75fa1e3e4dc" </w:instrText>
      </w:r>
      <w:r>
        <w:fldChar w:fldCharType="separate"/>
      </w:r>
      <w:r>
        <w:rPr>
          <w:rStyle w:val="19"/>
          <w:rFonts w:hAnsi="黑体" w:cs="黑体"/>
        </w:rPr>
        <w:t>9.4 消防安全管理</w:t>
      </w:r>
      <w:r>
        <w:tab/>
      </w:r>
      <w:r>
        <w:fldChar w:fldCharType="begin"/>
      </w:r>
      <w:r>
        <w:instrText xml:space="preserve">PAGEREF _Toc0cda6f65-9b68-4ce8-bc36-a75fa1e3e4dc \h </w:instrText>
      </w:r>
      <w:r>
        <w:fldChar w:fldCharType="separate"/>
      </w:r>
      <w:r>
        <w:t>9</w:t>
      </w:r>
      <w:r>
        <w:fldChar w:fldCharType="end"/>
      </w:r>
      <w:r>
        <w:fldChar w:fldCharType="end"/>
      </w:r>
    </w:p>
    <w:p>
      <w:pPr>
        <w:pStyle w:val="44"/>
      </w:pPr>
      <w:r>
        <w:fldChar w:fldCharType="end"/>
      </w:r>
    </w:p>
    <w:p>
      <w:pPr>
        <w:spacing w:line="270" w:lineRule="auto"/>
        <w:ind w:leftChars="0"/>
        <w:sectPr>
          <w:headerReference r:id="rId3" w:type="default"/>
          <w:footerReference r:id="rId4" w:type="default"/>
          <w:pgSz w:w="11906" w:h="16838"/>
          <w:pgMar w:top="1417" w:right="1134" w:bottom="1134" w:left="1417" w:header="850" w:footer="680" w:gutter="0"/>
          <w:pgNumType w:fmt="upperRoman" w:start="1"/>
          <w:cols w:space="425" w:num="1"/>
          <w:docGrid w:type="lines" w:linePitch="312" w:charSpace="0"/>
        </w:sectPr>
      </w:pPr>
    </w:p>
    <w:p>
      <w:pPr>
        <w:pStyle w:val="47"/>
        <w:rPr>
          <w:lang w:val="en-US" w:eastAsia="zh-CN"/>
        </w:rPr>
      </w:pPr>
      <w:bookmarkStart w:id="0" w:name="_Toc7e0138e1-d5e9-4097-810b-444f1e5fbd64"/>
      <w:r>
        <w:rPr>
          <w:rFonts w:hint="eastAsia" w:ascii="黑体" w:hAnsi="黑体" w:eastAsia="黑体" w:cs="黑体"/>
          <w:sz w:val="32"/>
          <w:szCs w:val="32"/>
          <w:lang w:val="en-US" w:eastAsia="zh-CN"/>
        </w:rPr>
        <w:t>前</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0"/>
    </w:p>
    <w:p>
      <w:pPr>
        <w:pStyle w:val="50"/>
        <w:wordWrap w:val="0"/>
        <w:autoSpaceDE/>
        <w:autoSpaceDN/>
        <w:snapToGrid/>
        <w:ind w:leftChars="0" w:firstLine="411"/>
        <w:jc w:val="both"/>
      </w:pPr>
      <w:r>
        <w:rPr>
          <w:rFonts w:hint="eastAsia" w:ascii="宋体" w:hAnsi="宋体" w:eastAsia="宋体" w:cs="宋体"/>
          <w:sz w:val="21"/>
          <w:szCs w:val="21"/>
        </w:rPr>
        <w:t>本文件按照GB/T 1.1—2020《标准化工作导则 第1部分：标准化文件的结构和起草规则》的规定起草。</w:t>
      </w:r>
    </w:p>
    <w:p>
      <w:pPr>
        <w:pStyle w:val="50"/>
        <w:wordWrap w:val="0"/>
        <w:autoSpaceDE/>
        <w:autoSpaceDN/>
        <w:snapToGrid/>
        <w:ind w:leftChars="0" w:firstLine="411"/>
        <w:jc w:val="both"/>
      </w:pPr>
      <w:r>
        <w:rPr>
          <w:rFonts w:hint="eastAsia" w:ascii="宋体" w:hAnsi="宋体" w:eastAsia="宋体" w:cs="宋体"/>
          <w:sz w:val="21"/>
          <w:szCs w:val="21"/>
        </w:rPr>
        <w:t>请注意本文件的某些内容可能涉及专利。本文件的发布机构不承担识别专利的责任。</w:t>
      </w:r>
    </w:p>
    <w:p>
      <w:pPr>
        <w:pStyle w:val="50"/>
        <w:wordWrap w:val="0"/>
        <w:autoSpaceDE/>
        <w:autoSpaceDN/>
        <w:snapToGrid/>
        <w:ind w:leftChars="0" w:firstLine="411"/>
        <w:jc w:val="both"/>
      </w:pPr>
      <w:r>
        <w:rPr>
          <w:rFonts w:hint="eastAsia" w:ascii="宋体" w:hAnsi="宋体" w:eastAsia="宋体" w:cs="宋体"/>
          <w:sz w:val="21"/>
          <w:szCs w:val="21"/>
        </w:rPr>
        <w:t>本文件由南通市消防救援支队提出并归口 。</w:t>
      </w:r>
    </w:p>
    <w:p>
      <w:pPr>
        <w:pStyle w:val="50"/>
        <w:wordWrap w:val="0"/>
        <w:autoSpaceDE/>
        <w:autoSpaceDN/>
        <w:snapToGrid/>
        <w:ind w:leftChars="0" w:firstLine="411"/>
        <w:jc w:val="both"/>
      </w:pPr>
      <w:r>
        <w:rPr>
          <w:rFonts w:hint="eastAsia" w:ascii="宋体" w:hAnsi="宋体" w:eastAsia="宋体" w:cs="宋体"/>
          <w:sz w:val="21"/>
          <w:szCs w:val="21"/>
        </w:rPr>
        <w:t>本文件起草单位：南通市消防救援支队。</w:t>
      </w:r>
    </w:p>
    <w:p>
      <w:pPr>
        <w:pStyle w:val="50"/>
        <w:wordWrap w:val="0"/>
        <w:autoSpaceDE/>
        <w:autoSpaceDN/>
        <w:snapToGrid/>
        <w:ind w:leftChars="0" w:firstLine="411"/>
        <w:jc w:val="both"/>
      </w:pPr>
      <w:r>
        <w:rPr>
          <w:rFonts w:hint="eastAsia" w:ascii="宋体" w:hAnsi="宋体" w:eastAsia="宋体" w:cs="宋体"/>
          <w:sz w:val="21"/>
          <w:szCs w:val="21"/>
        </w:rPr>
        <w:t>本文件主要起草人： XXXX 。</w:t>
      </w:r>
    </w:p>
    <w:p>
      <w:pPr>
        <w:pStyle w:val="50"/>
        <w:wordWrap w:val="0"/>
        <w:autoSpaceDE/>
        <w:autoSpaceDN/>
        <w:snapToGrid/>
        <w:ind w:leftChars="0" w:firstLine="411"/>
        <w:jc w:val="both"/>
      </w:pPr>
      <w:r>
        <w:rPr>
          <w:rFonts w:hint="eastAsia" w:ascii="宋体" w:hAnsi="宋体" w:eastAsia="宋体" w:cs="宋体"/>
          <w:sz w:val="21"/>
          <w:szCs w:val="21"/>
        </w:rPr>
        <w:t>本文件为首次发布。</w:t>
      </w:r>
    </w:p>
    <w:p>
      <w:pPr>
        <w:rPr>
          <w:rFonts w:hint="eastAsia"/>
          <w:lang w:val="en-US" w:eastAsia="zh-CN"/>
        </w:rPr>
        <w:sectPr>
          <w:headerReference r:id="rId5" w:type="default"/>
          <w:footerReference r:id="rId6" w:type="default"/>
          <w:pgSz w:w="11906" w:h="16838"/>
          <w:pgMar w:top="1417" w:right="1134" w:bottom="1079" w:left="1417" w:header="850" w:footer="680" w:gutter="0"/>
          <w:pgNumType w:fmt="upperRoman"/>
          <w:cols w:space="425" w:num="1"/>
          <w:docGrid w:type="lines" w:linePitch="312" w:charSpace="0"/>
        </w:sectPr>
      </w:pPr>
    </w:p>
    <w:p>
      <w:pPr>
        <w:pStyle w:val="46"/>
        <w:rPr>
          <w:lang w:val="en-US" w:eastAsia="zh-CN"/>
        </w:rPr>
      </w:pPr>
      <w:r>
        <w:rPr>
          <w:rFonts w:hint="eastAsia" w:ascii="黑体" w:hAnsi="黑体" w:eastAsia="黑体" w:cs="黑体"/>
          <w:sz w:val="32"/>
          <w:szCs w:val="32"/>
          <w:lang w:val="en-US" w:eastAsia="zh-CN"/>
        </w:rPr>
        <w:t>电动自行车消防安全管理规范</w:t>
      </w:r>
    </w:p>
    <w:p>
      <w:pPr>
        <w:pStyle w:val="51"/>
        <w:numPr>
          <w:ilvl w:val="0"/>
          <w:numId w:val="1"/>
        </w:numPr>
        <w:wordWrap w:val="0"/>
        <w:autoSpaceDE/>
        <w:autoSpaceDN/>
        <w:snapToGrid w:val="0"/>
        <w:jc w:val="both"/>
        <w:outlineLvl w:val="0"/>
      </w:pPr>
      <w:bookmarkStart w:id="1" w:name="_Tocb06f00fe-9933-4ba2-9ccb-454b2ce77642"/>
      <w:r>
        <w:rPr>
          <w:rFonts w:hint="eastAsia" w:ascii="黑体" w:hAnsi="黑体" w:eastAsia="黑体" w:cs="黑体"/>
          <w:sz w:val="21"/>
          <w:szCs w:val="21"/>
        </w:rPr>
        <w:t>范围</w:t>
      </w:r>
      <w:bookmarkEnd w:id="1"/>
    </w:p>
    <w:p>
      <w:pPr>
        <w:pStyle w:val="50"/>
        <w:wordWrap w:val="0"/>
        <w:autoSpaceDE/>
        <w:autoSpaceDN/>
        <w:snapToGrid/>
        <w:ind w:leftChars="0" w:firstLine="411"/>
        <w:jc w:val="both"/>
      </w:pPr>
      <w:r>
        <w:rPr>
          <w:rFonts w:hint="eastAsia" w:ascii="宋体" w:hAnsi="宋体" w:eastAsia="宋体" w:cs="宋体"/>
          <w:sz w:val="21"/>
          <w:szCs w:val="21"/>
        </w:rPr>
        <w:t>本标准规定了电动自行车使用、停放、充电、维护保养等日常环节中需满足的消防安全要求，以及电动自行车停放充电场所的一般规定、充（换）电柜、电动自行车充（换）电站、消防安全管理的要求。</w:t>
      </w:r>
    </w:p>
    <w:p>
      <w:pPr>
        <w:pStyle w:val="50"/>
        <w:wordWrap w:val="0"/>
        <w:autoSpaceDE/>
        <w:autoSpaceDN/>
        <w:snapToGrid/>
        <w:ind w:leftChars="0" w:firstLine="411"/>
        <w:jc w:val="both"/>
      </w:pPr>
      <w:r>
        <w:rPr>
          <w:rFonts w:hint="eastAsia" w:ascii="宋体" w:hAnsi="宋体" w:eastAsia="宋体" w:cs="宋体"/>
          <w:sz w:val="21"/>
          <w:szCs w:val="21"/>
        </w:rPr>
        <w:t>本标准适用于机关、团体、企业、事业单位和居民社区的电动自行车日常消防安全管理工作，以及新建、扩建、改建电动自行车停放充电场所的消防安全管理。电动摩托车、电动轻便摩托车和其他电动非机动车消防安全管理可参照执行。</w:t>
      </w:r>
    </w:p>
    <w:p>
      <w:pPr>
        <w:rPr>
          <w:rFonts w:hint="eastAsia"/>
          <w:lang w:val="en-US" w:eastAsia="zh-CN"/>
        </w:rPr>
        <w:sectPr>
          <w:headerReference r:id="rId7" w:type="default"/>
          <w:footerReference r:id="rId8" w:type="default"/>
          <w:pgSz w:w="11906" w:h="16838"/>
          <w:pgMar w:top="1417" w:right="1134" w:bottom="1079" w:left="1417" w:header="850" w:footer="680" w:gutter="0"/>
          <w:pgNumType w:fmt="decimal" w:start="1"/>
          <w:cols w:space="425" w:num="1"/>
          <w:docGrid w:type="lines" w:linePitch="312" w:charSpace="0"/>
        </w:sectPr>
      </w:pPr>
    </w:p>
    <w:p>
      <w:pPr>
        <w:pStyle w:val="51"/>
        <w:numPr>
          <w:ilvl w:val="0"/>
          <w:numId w:val="1"/>
        </w:numPr>
        <w:wordWrap w:val="0"/>
        <w:autoSpaceDE/>
        <w:autoSpaceDN/>
        <w:snapToGrid w:val="0"/>
        <w:jc w:val="both"/>
        <w:outlineLvl w:val="0"/>
      </w:pPr>
      <w:bookmarkStart w:id="2" w:name="_Toc08bf5c5a-0ea9-4fba-b5a7-387327785340"/>
      <w:r>
        <w:rPr>
          <w:rFonts w:hint="eastAsia" w:ascii="黑体" w:hAnsi="黑体" w:eastAsia="黑体" w:cs="黑体"/>
          <w:sz w:val="21"/>
          <w:szCs w:val="21"/>
        </w:rPr>
        <w:t>规范性引用文件</w:t>
      </w:r>
      <w:bookmarkEnd w:id="2"/>
    </w:p>
    <w:p>
      <w:pPr>
        <w:pStyle w:val="50"/>
        <w:wordWrap w:val="0"/>
        <w:autoSpaceDE/>
        <w:autoSpaceDN/>
        <w:snapToGrid/>
        <w:ind w:leftChars="0" w:firstLine="411"/>
        <w:jc w:val="both"/>
      </w:pPr>
      <w:r>
        <w:rPr>
          <w:rFonts w:hint="eastAsia" w:ascii="宋体" w:hAnsi="宋体" w:eastAsia="宋体" w:cs="宋体"/>
          <w:sz w:val="21"/>
          <w:szCs w:val="21"/>
        </w:rPr>
        <w:t>下列文件对于本文件的应用是必不可少的。凡是注日期的引用文件,仅注日期的版本适用于本文件。凡是不注日期的引用文件,其最新版本(包括所有的修改单)适用于本文件。</w:t>
      </w:r>
    </w:p>
    <w:p>
      <w:pPr>
        <w:pStyle w:val="50"/>
        <w:wordWrap w:val="0"/>
        <w:autoSpaceDE/>
        <w:autoSpaceDN/>
        <w:snapToGrid/>
        <w:ind w:leftChars="0" w:firstLine="411"/>
        <w:jc w:val="both"/>
      </w:pPr>
      <w:r>
        <w:rPr>
          <w:rFonts w:hint="eastAsia" w:ascii="宋体" w:hAnsi="宋体" w:eastAsia="宋体" w:cs="宋体"/>
          <w:sz w:val="21"/>
          <w:szCs w:val="21"/>
        </w:rPr>
        <w:t>GB 17761 电动自行车安全技术规范</w:t>
      </w:r>
    </w:p>
    <w:p>
      <w:pPr>
        <w:pStyle w:val="50"/>
        <w:wordWrap w:val="0"/>
        <w:autoSpaceDE/>
        <w:autoSpaceDN/>
        <w:snapToGrid/>
        <w:ind w:leftChars="0" w:firstLine="411"/>
        <w:jc w:val="both"/>
      </w:pPr>
      <w:r>
        <w:rPr>
          <w:rFonts w:hint="eastAsia" w:ascii="宋体" w:hAnsi="宋体" w:eastAsia="宋体" w:cs="宋体"/>
          <w:sz w:val="21"/>
          <w:szCs w:val="21"/>
        </w:rPr>
        <w:t>GB 50016 建筑设计防火规范</w:t>
      </w:r>
    </w:p>
    <w:p>
      <w:pPr>
        <w:pStyle w:val="50"/>
        <w:wordWrap w:val="0"/>
        <w:autoSpaceDE/>
        <w:autoSpaceDN/>
        <w:snapToGrid/>
        <w:ind w:leftChars="0" w:firstLine="411"/>
        <w:jc w:val="both"/>
      </w:pPr>
      <w:r>
        <w:rPr>
          <w:rFonts w:hint="eastAsia" w:ascii="宋体" w:hAnsi="宋体" w:eastAsia="宋体" w:cs="宋体"/>
          <w:sz w:val="21"/>
          <w:szCs w:val="21"/>
        </w:rPr>
        <w:t>GB 55036 消防设施通用规范</w:t>
      </w:r>
    </w:p>
    <w:p>
      <w:pPr>
        <w:pStyle w:val="50"/>
        <w:wordWrap w:val="0"/>
        <w:autoSpaceDE/>
        <w:autoSpaceDN/>
        <w:snapToGrid/>
        <w:ind w:leftChars="0" w:firstLine="411"/>
        <w:jc w:val="both"/>
      </w:pPr>
      <w:r>
        <w:rPr>
          <w:rFonts w:hint="eastAsia" w:ascii="宋体" w:hAnsi="宋体" w:eastAsia="宋体" w:cs="宋体"/>
          <w:sz w:val="21"/>
          <w:szCs w:val="21"/>
        </w:rPr>
        <w:t>GB 50974 消防给水及消火栓系统技术规范</w:t>
      </w:r>
    </w:p>
    <w:p>
      <w:pPr>
        <w:pStyle w:val="50"/>
        <w:wordWrap w:val="0"/>
        <w:autoSpaceDE/>
        <w:autoSpaceDN/>
        <w:snapToGrid/>
        <w:ind w:leftChars="0" w:firstLine="411"/>
        <w:jc w:val="both"/>
      </w:pPr>
      <w:r>
        <w:rPr>
          <w:rFonts w:hint="eastAsia" w:ascii="宋体" w:hAnsi="宋体" w:eastAsia="宋体" w:cs="宋体"/>
          <w:sz w:val="21"/>
          <w:szCs w:val="21"/>
        </w:rPr>
        <w:t>GB 51348 民用建筑电气设计标准</w:t>
      </w:r>
    </w:p>
    <w:p>
      <w:pPr>
        <w:pStyle w:val="50"/>
        <w:wordWrap w:val="0"/>
        <w:autoSpaceDE/>
        <w:autoSpaceDN/>
        <w:snapToGrid/>
        <w:ind w:leftChars="0" w:firstLine="411"/>
        <w:jc w:val="both"/>
      </w:pPr>
      <w:r>
        <w:rPr>
          <w:rFonts w:hint="eastAsia" w:ascii="宋体" w:hAnsi="宋体" w:eastAsia="宋体" w:cs="宋体"/>
          <w:sz w:val="21"/>
          <w:szCs w:val="21"/>
        </w:rPr>
        <w:t>DB 32/T 3904-2020 电动自行车停放充电场所消防技术规范</w:t>
      </w:r>
    </w:p>
    <w:p>
      <w:pPr>
        <w:rPr>
          <w:rFonts w:hint="eastAsia"/>
          <w:lang w:val="en-US" w:eastAsia="zh-CN"/>
        </w:rPr>
        <w:sectPr>
          <w:headerReference r:id="rId9" w:type="default"/>
          <w:footerReference r:id="rId10" w:type="default"/>
          <w:pgSz w:w="11906" w:h="16838"/>
          <w:pgMar w:top="1417" w:right="1134" w:bottom="1079" w:left="1417" w:header="850" w:footer="680" w:gutter="0"/>
          <w:pgNumType w:fmt="decimal"/>
          <w:cols w:space="425" w:num="1"/>
          <w:docGrid w:type="lines" w:linePitch="312" w:charSpace="0"/>
        </w:sectPr>
      </w:pPr>
    </w:p>
    <w:p>
      <w:pPr>
        <w:pStyle w:val="51"/>
        <w:numPr>
          <w:ilvl w:val="0"/>
          <w:numId w:val="1"/>
        </w:numPr>
        <w:wordWrap w:val="0"/>
        <w:autoSpaceDE/>
        <w:autoSpaceDN/>
        <w:snapToGrid w:val="0"/>
        <w:jc w:val="both"/>
        <w:outlineLvl w:val="0"/>
      </w:pPr>
      <w:bookmarkStart w:id="3" w:name="_Tocf71ba77e-7dde-4b33-8283-0c25a1a9e4c4"/>
      <w:r>
        <w:rPr>
          <w:rFonts w:hint="eastAsia" w:ascii="黑体" w:hAnsi="黑体" w:eastAsia="黑体" w:cs="黑体"/>
          <w:sz w:val="21"/>
          <w:szCs w:val="21"/>
        </w:rPr>
        <w:t>术语和定义</w:t>
      </w:r>
      <w:bookmarkEnd w:id="3"/>
    </w:p>
    <w:p>
      <w:pPr>
        <w:pStyle w:val="50"/>
        <w:wordWrap w:val="0"/>
        <w:autoSpaceDE/>
        <w:autoSpaceDN/>
        <w:snapToGrid/>
        <w:ind w:leftChars="0" w:firstLine="411"/>
        <w:jc w:val="both"/>
      </w:pPr>
      <w:r>
        <w:rPr>
          <w:rFonts w:hint="eastAsia" w:ascii="宋体" w:hAnsi="宋体" w:eastAsia="宋体" w:cs="宋体"/>
          <w:sz w:val="21"/>
          <w:szCs w:val="21"/>
        </w:rPr>
        <w:t>下列术语和定义适用于本文件。</w:t>
      </w:r>
    </w:p>
    <w:p>
      <w:pPr>
        <w:pStyle w:val="52"/>
        <w:numPr>
          <w:ilvl w:val="1"/>
          <w:numId w:val="1"/>
        </w:numPr>
        <w:wordWrap w:val="0"/>
        <w:autoSpaceDE/>
        <w:autoSpaceDN/>
        <w:snapToGrid w:val="0"/>
        <w:jc w:val="both"/>
        <w:outlineLvl w:val="1"/>
      </w:pPr>
      <w:bookmarkStart w:id="4" w:name="_Toc6c190b91-6962-4570-92ee-1c68eb336c07"/>
      <w:bookmarkEnd w:id="4"/>
    </w:p>
    <w:p>
      <w:pPr>
        <w:pStyle w:val="50"/>
        <w:wordWrap w:val="0"/>
        <w:autoSpaceDE/>
        <w:autoSpaceDN/>
        <w:snapToGrid/>
        <w:ind w:leftChars="0" w:firstLine="411"/>
        <w:jc w:val="both"/>
      </w:pPr>
      <w:r>
        <w:rPr>
          <w:rFonts w:hint="eastAsia" w:ascii="黑体" w:hAnsi="黑体" w:eastAsia="黑体" w:cs="黑体"/>
          <w:sz w:val="21"/>
          <w:szCs w:val="21"/>
        </w:rPr>
        <w:t>电动自行车</w:t>
      </w:r>
      <w:r>
        <w:rPr>
          <w:rFonts w:hint="eastAsia" w:ascii="Times New Roman" w:hAnsi="Times New Roman" w:eastAsia="Times New Roman" w:cs="Times New Roman"/>
          <w:sz w:val="21"/>
          <w:szCs w:val="21"/>
        </w:rPr>
        <w:t>  electric bicycle</w:t>
      </w:r>
    </w:p>
    <w:p>
      <w:pPr>
        <w:pStyle w:val="50"/>
        <w:wordWrap w:val="0"/>
        <w:autoSpaceDE/>
        <w:autoSpaceDN/>
        <w:snapToGrid/>
        <w:ind w:leftChars="0" w:firstLine="411"/>
        <w:jc w:val="both"/>
      </w:pPr>
      <w:r>
        <w:rPr>
          <w:rFonts w:hint="eastAsia" w:ascii="宋体" w:hAnsi="宋体" w:eastAsia="宋体" w:cs="宋体"/>
          <w:sz w:val="21"/>
          <w:szCs w:val="21"/>
        </w:rPr>
        <w:t>以车载蓄电池作为辅助能源，具有脚踏骑行能力，能实现电助动或/电驱动功能的两轮自行车。</w:t>
      </w:r>
    </w:p>
    <w:p>
      <w:pPr>
        <w:pStyle w:val="52"/>
        <w:numPr>
          <w:ilvl w:val="1"/>
          <w:numId w:val="1"/>
        </w:numPr>
        <w:wordWrap w:val="0"/>
        <w:autoSpaceDE/>
        <w:autoSpaceDN/>
        <w:snapToGrid w:val="0"/>
        <w:jc w:val="both"/>
        <w:outlineLvl w:val="1"/>
      </w:pPr>
      <w:bookmarkStart w:id="5" w:name="_Toceb7e5f9f-0e42-4892-9b0d-13c31df91591"/>
      <w:bookmarkEnd w:id="5"/>
    </w:p>
    <w:p>
      <w:pPr>
        <w:pStyle w:val="50"/>
        <w:wordWrap w:val="0"/>
        <w:autoSpaceDE/>
        <w:autoSpaceDN/>
        <w:snapToGrid/>
        <w:ind w:leftChars="0" w:firstLine="411"/>
        <w:jc w:val="both"/>
      </w:pPr>
      <w:r>
        <w:rPr>
          <w:rFonts w:hint="eastAsia" w:ascii="黑体" w:hAnsi="黑体" w:eastAsia="黑体" w:cs="黑体"/>
          <w:sz w:val="21"/>
          <w:szCs w:val="21"/>
        </w:rPr>
        <w:t>电动自行车停放充电场所</w:t>
      </w:r>
      <w:r>
        <w:rPr>
          <w:rFonts w:hint="eastAsia" w:ascii="Times New Roman" w:hAnsi="Times New Roman" w:eastAsia="Times New Roman" w:cs="Times New Roman"/>
          <w:sz w:val="21"/>
          <w:szCs w:val="21"/>
        </w:rPr>
        <w:t>  park the charging space of electric bicycle</w:t>
      </w:r>
    </w:p>
    <w:p>
      <w:pPr>
        <w:pStyle w:val="50"/>
        <w:wordWrap w:val="0"/>
        <w:autoSpaceDE/>
        <w:autoSpaceDN/>
        <w:snapToGrid/>
        <w:ind w:leftChars="0" w:firstLine="411"/>
        <w:jc w:val="both"/>
      </w:pPr>
      <w:r>
        <w:rPr>
          <w:rFonts w:hint="eastAsia" w:ascii="宋体" w:hAnsi="宋体" w:eastAsia="宋体" w:cs="宋体"/>
          <w:sz w:val="21"/>
          <w:szCs w:val="21"/>
        </w:rPr>
        <w:t>为电动自行车、电动摩托车、电动轻便摩托车和其他电动非机动车提供停放、充电或同时具备两种使用功能的场所，包括但不限于电动自行车停车场、电动自行车库、电动自行车充（换）电站。</w:t>
      </w:r>
    </w:p>
    <w:p>
      <w:pPr>
        <w:pStyle w:val="52"/>
        <w:numPr>
          <w:ilvl w:val="1"/>
          <w:numId w:val="1"/>
        </w:numPr>
        <w:wordWrap w:val="0"/>
        <w:autoSpaceDE/>
        <w:autoSpaceDN/>
        <w:snapToGrid w:val="0"/>
        <w:jc w:val="both"/>
        <w:outlineLvl w:val="1"/>
      </w:pPr>
      <w:bookmarkStart w:id="6" w:name="_Toc2a27f0fa-31b0-44d6-9524-cf66ff31bdb0"/>
      <w:bookmarkEnd w:id="6"/>
    </w:p>
    <w:p>
      <w:pPr>
        <w:pStyle w:val="50"/>
        <w:wordWrap w:val="0"/>
        <w:autoSpaceDE/>
        <w:autoSpaceDN/>
        <w:snapToGrid/>
        <w:ind w:leftChars="0" w:firstLine="411"/>
        <w:jc w:val="both"/>
      </w:pPr>
      <w:r>
        <w:rPr>
          <w:rFonts w:hint="eastAsia" w:ascii="宋体" w:hAnsi="宋体" w:eastAsia="宋体" w:cs="宋体"/>
          <w:sz w:val="21"/>
          <w:szCs w:val="21"/>
        </w:rPr>
        <w:t xml:space="preserve">电动自行车停车场 </w:t>
      </w:r>
      <w:r>
        <w:rPr>
          <w:rFonts w:hint="eastAsia" w:ascii="Times New Roman" w:hAnsi="Times New Roman" w:eastAsia="Times New Roman" w:cs="Times New Roman"/>
          <w:sz w:val="21"/>
          <w:szCs w:val="21"/>
        </w:rPr>
        <w:t>electric bicycle parking lot</w:t>
      </w:r>
    </w:p>
    <w:p>
      <w:pPr>
        <w:pStyle w:val="50"/>
        <w:wordWrap w:val="0"/>
        <w:autoSpaceDE/>
        <w:autoSpaceDN/>
        <w:snapToGrid/>
        <w:ind w:leftChars="0" w:firstLine="411"/>
        <w:jc w:val="both"/>
      </w:pPr>
      <w:r>
        <w:rPr>
          <w:rFonts w:hint="eastAsia" w:ascii="宋体" w:hAnsi="宋体" w:eastAsia="宋体" w:cs="宋体"/>
          <w:sz w:val="21"/>
          <w:szCs w:val="21"/>
        </w:rPr>
        <w:t>用于电动自行车停放或充电的室外场地。</w:t>
      </w:r>
    </w:p>
    <w:p>
      <w:pPr>
        <w:pStyle w:val="52"/>
        <w:numPr>
          <w:ilvl w:val="1"/>
          <w:numId w:val="1"/>
        </w:numPr>
        <w:wordWrap w:val="0"/>
        <w:autoSpaceDE/>
        <w:autoSpaceDN/>
        <w:snapToGrid w:val="0"/>
        <w:jc w:val="both"/>
        <w:outlineLvl w:val="1"/>
      </w:pPr>
      <w:bookmarkStart w:id="7" w:name="_Toc77a980d5-9046-4f07-a6e1-2be0105debf2"/>
      <w:r>
        <w:rPr>
          <w:rFonts w:hint="eastAsia" w:ascii="黑体" w:hAnsi="黑体" w:eastAsia="黑体" w:cs="黑体"/>
          <w:sz w:val="21"/>
          <w:szCs w:val="21"/>
        </w:rPr>
        <w:t xml:space="preserve">
                        </w:t>
      </w:r>
      <w:bookmarkEnd w:id="7"/>
    </w:p>
    <w:p>
      <w:pPr>
        <w:pStyle w:val="50"/>
        <w:wordWrap w:val="0"/>
        <w:autoSpaceDE/>
        <w:autoSpaceDN/>
        <w:snapToGrid/>
        <w:ind w:leftChars="0" w:firstLine="411"/>
        <w:jc w:val="both"/>
      </w:pPr>
      <w:r>
        <w:rPr>
          <w:rFonts w:hint="eastAsia" w:ascii="黑体" w:hAnsi="黑体" w:eastAsia="黑体" w:cs="黑体"/>
          <w:sz w:val="21"/>
          <w:szCs w:val="21"/>
        </w:rPr>
        <w:t xml:space="preserve">电动自行车库 </w:t>
      </w:r>
      <w:r>
        <w:rPr>
          <w:rFonts w:hint="eastAsia" w:ascii="Times New Roman" w:hAnsi="Times New Roman" w:eastAsia="Times New Roman" w:cs="Times New Roman"/>
          <w:sz w:val="21"/>
          <w:szCs w:val="21"/>
        </w:rPr>
        <w:t>  electric bicycle garage</w:t>
      </w:r>
    </w:p>
    <w:p>
      <w:pPr>
        <w:pStyle w:val="50"/>
        <w:wordWrap w:val="0"/>
        <w:autoSpaceDE/>
        <w:autoSpaceDN/>
        <w:snapToGrid/>
        <w:ind w:leftChars="0" w:firstLine="411"/>
        <w:jc w:val="both"/>
      </w:pPr>
      <w:r>
        <w:rPr>
          <w:rFonts w:hint="eastAsia" w:ascii="宋体" w:hAnsi="宋体" w:eastAsia="宋体" w:cs="宋体"/>
          <w:sz w:val="21"/>
          <w:szCs w:val="21"/>
        </w:rPr>
        <w:t>设置在建筑物内用于电动自行车停放或充电的场所。</w:t>
      </w:r>
    </w:p>
    <w:p>
      <w:pPr>
        <w:pStyle w:val="52"/>
        <w:numPr>
          <w:ilvl w:val="1"/>
          <w:numId w:val="1"/>
        </w:numPr>
        <w:wordWrap w:val="0"/>
        <w:autoSpaceDE/>
        <w:autoSpaceDN/>
        <w:snapToGrid w:val="0"/>
        <w:jc w:val="both"/>
        <w:outlineLvl w:val="1"/>
      </w:pPr>
      <w:bookmarkStart w:id="8" w:name="_Toc7dc76d5d-a1a9-47e2-b0a6-2e0ab28251cb"/>
      <w:bookmarkEnd w:id="8"/>
    </w:p>
    <w:p>
      <w:pPr>
        <w:pStyle w:val="50"/>
        <w:wordWrap w:val="0"/>
        <w:autoSpaceDE/>
        <w:autoSpaceDN/>
        <w:snapToGrid/>
        <w:ind w:leftChars="0" w:firstLine="411"/>
        <w:jc w:val="both"/>
      </w:pPr>
      <w:r>
        <w:rPr>
          <w:rFonts w:hint="eastAsia" w:ascii="黑体" w:hAnsi="黑体" w:eastAsia="黑体" w:cs="黑体"/>
          <w:sz w:val="21"/>
          <w:szCs w:val="21"/>
        </w:rPr>
        <w:t>电动自行车充（换）电站</w:t>
      </w:r>
      <w:r>
        <w:rPr>
          <w:rFonts w:hint="eastAsia" w:ascii="Times New Roman" w:hAnsi="Times New Roman" w:eastAsia="Times New Roman" w:cs="Times New Roman"/>
          <w:sz w:val="21"/>
          <w:szCs w:val="21"/>
        </w:rPr>
        <w:t xml:space="preserve">  Electric bicycle change power station</w:t>
      </w:r>
    </w:p>
    <w:p>
      <w:pPr>
        <w:pStyle w:val="50"/>
        <w:wordWrap w:val="0"/>
        <w:autoSpaceDE/>
        <w:autoSpaceDN/>
        <w:snapToGrid/>
        <w:ind w:leftChars="0" w:firstLine="411"/>
        <w:jc w:val="both"/>
      </w:pPr>
      <w:r>
        <w:rPr>
          <w:rFonts w:hint="eastAsia" w:ascii="宋体" w:hAnsi="宋体" w:eastAsia="宋体" w:cs="宋体"/>
          <w:sz w:val="21"/>
          <w:szCs w:val="21"/>
        </w:rPr>
        <w:t>为电动自行车用蓄电池进行集中充（换）电的建筑物。</w:t>
      </w:r>
    </w:p>
    <w:p>
      <w:pPr>
        <w:pStyle w:val="52"/>
        <w:numPr>
          <w:ilvl w:val="1"/>
          <w:numId w:val="1"/>
        </w:numPr>
        <w:wordWrap w:val="0"/>
        <w:autoSpaceDE/>
        <w:autoSpaceDN/>
        <w:snapToGrid w:val="0"/>
        <w:jc w:val="both"/>
        <w:outlineLvl w:val="1"/>
      </w:pPr>
      <w:bookmarkStart w:id="9" w:name="_Toc6e4f5570-e71c-4531-a02f-2fbf34b23c1c"/>
      <w:r>
        <w:rPr>
          <w:rFonts w:hint="eastAsia" w:ascii="黑体" w:hAnsi="黑体" w:eastAsia="黑体" w:cs="黑体"/>
          <w:sz w:val="21"/>
          <w:szCs w:val="21"/>
        </w:rPr>
        <w:t xml:space="preserve">
                        </w:t>
      </w:r>
      <w:bookmarkEnd w:id="9"/>
    </w:p>
    <w:p>
      <w:pPr>
        <w:pStyle w:val="50"/>
        <w:wordWrap w:val="0"/>
        <w:autoSpaceDE/>
        <w:autoSpaceDN/>
        <w:snapToGrid/>
        <w:ind w:leftChars="0" w:firstLine="411"/>
        <w:jc w:val="both"/>
      </w:pPr>
      <w:r>
        <w:rPr>
          <w:rFonts w:hint="eastAsia" w:ascii="黑体" w:hAnsi="黑体" w:eastAsia="黑体" w:cs="黑体"/>
          <w:sz w:val="21"/>
          <w:szCs w:val="21"/>
        </w:rPr>
        <w:t>充（换）电柜</w:t>
      </w:r>
      <w:r>
        <w:rPr>
          <w:rFonts w:hint="eastAsia" w:ascii="Times New Roman" w:hAnsi="Times New Roman" w:eastAsia="Times New Roman" w:cs="Times New Roman"/>
          <w:sz w:val="21"/>
          <w:szCs w:val="21"/>
        </w:rPr>
        <w:t>  charging/battery swap cabinet</w:t>
      </w:r>
    </w:p>
    <w:p>
      <w:pPr>
        <w:pStyle w:val="50"/>
        <w:wordWrap w:val="0"/>
        <w:autoSpaceDE/>
        <w:autoSpaceDN/>
        <w:snapToGrid/>
        <w:ind w:leftChars="0" w:firstLine="411"/>
        <w:jc w:val="both"/>
      </w:pPr>
      <w:r>
        <w:rPr>
          <w:rFonts w:hint="eastAsia" w:ascii="宋体" w:hAnsi="宋体" w:eastAsia="宋体" w:cs="宋体"/>
          <w:sz w:val="21"/>
          <w:szCs w:val="21"/>
        </w:rPr>
        <w:t>集成电动自行车充电器、充电管理系统、通信模块及配套附件，可为多个电动自行车用电池组充电和换电的成套电器柜。</w:t>
      </w:r>
    </w:p>
    <w:p>
      <w:pPr>
        <w:pStyle w:val="52"/>
        <w:numPr>
          <w:ilvl w:val="1"/>
          <w:numId w:val="1"/>
        </w:numPr>
        <w:wordWrap w:val="0"/>
        <w:autoSpaceDE/>
        <w:autoSpaceDN/>
        <w:snapToGrid w:val="0"/>
        <w:jc w:val="both"/>
        <w:outlineLvl w:val="1"/>
      </w:pPr>
      <w:bookmarkStart w:id="10" w:name="_Toc1986d011-919c-4f4f-876a-2a425ed92024"/>
      <w:r>
        <w:rPr>
          <w:rFonts w:hint="eastAsia" w:ascii="黑体" w:hAnsi="黑体" w:eastAsia="黑体" w:cs="黑体"/>
          <w:sz w:val="21"/>
          <w:szCs w:val="21"/>
        </w:rPr>
        <w:t xml:space="preserve">
                        </w:t>
      </w:r>
      <w:bookmarkEnd w:id="10"/>
    </w:p>
    <w:p>
      <w:pPr>
        <w:pStyle w:val="50"/>
        <w:wordWrap w:val="0"/>
        <w:autoSpaceDE/>
        <w:autoSpaceDN/>
        <w:snapToGrid/>
        <w:ind w:leftChars="0" w:firstLine="411"/>
        <w:jc w:val="both"/>
      </w:pPr>
      <w:r>
        <w:rPr>
          <w:rFonts w:hint="eastAsia" w:ascii="黑体" w:hAnsi="黑体" w:eastAsia="黑体" w:cs="黑体"/>
          <w:sz w:val="21"/>
          <w:szCs w:val="21"/>
        </w:rPr>
        <w:t>充电车位  </w:t>
      </w:r>
      <w:r>
        <w:rPr>
          <w:rFonts w:hint="eastAsia" w:ascii="Times New Roman" w:hAnsi="Times New Roman" w:eastAsia="Times New Roman" w:cs="Times New Roman"/>
          <w:sz w:val="21"/>
          <w:szCs w:val="21"/>
        </w:rPr>
        <w:t>  charging parking space</w:t>
      </w:r>
    </w:p>
    <w:p>
      <w:pPr>
        <w:pStyle w:val="50"/>
        <w:wordWrap w:val="0"/>
        <w:autoSpaceDE/>
        <w:autoSpaceDN/>
        <w:snapToGrid/>
        <w:ind w:leftChars="0" w:firstLine="411"/>
        <w:jc w:val="both"/>
      </w:pPr>
      <w:r>
        <w:rPr>
          <w:rFonts w:hint="eastAsia" w:ascii="宋体" w:hAnsi="宋体" w:eastAsia="宋体" w:cs="宋体"/>
          <w:sz w:val="21"/>
          <w:szCs w:val="21"/>
        </w:rPr>
        <w:t>电动自行车集中充电场所内设置的具有充电功能的停车位。</w:t>
      </w:r>
    </w:p>
    <w:p>
      <w:pPr>
        <w:rPr>
          <w:rFonts w:hint="eastAsia"/>
          <w:lang w:val="en-US" w:eastAsia="zh-CN"/>
        </w:rPr>
        <w:sectPr>
          <w:headerReference r:id="rId11" w:type="default"/>
          <w:footerReference r:id="rId12" w:type="default"/>
          <w:pgSz w:w="11906" w:h="16838"/>
          <w:pgMar w:top="1417" w:right="1134" w:bottom="1079" w:left="1417" w:header="850" w:footer="680" w:gutter="0"/>
          <w:pgNumType w:fmt="decimal"/>
          <w:cols w:space="425" w:num="1"/>
          <w:docGrid w:type="lines" w:linePitch="312" w:charSpace="0"/>
        </w:sectPr>
      </w:pPr>
    </w:p>
    <w:p>
      <w:pPr>
        <w:pStyle w:val="51"/>
        <w:numPr>
          <w:ilvl w:val="0"/>
          <w:numId w:val="1"/>
        </w:numPr>
        <w:wordWrap w:val="0"/>
        <w:autoSpaceDE/>
        <w:autoSpaceDN/>
        <w:snapToGrid w:val="0"/>
        <w:jc w:val="both"/>
        <w:outlineLvl w:val="0"/>
      </w:pPr>
      <w:bookmarkStart w:id="11" w:name="_Toc79bb600d-0f83-413f-8498-ab56cf5f8094"/>
      <w:r>
        <w:rPr>
          <w:rFonts w:hint="eastAsia" w:ascii="黑体" w:hAnsi="黑体" w:eastAsia="黑体" w:cs="黑体"/>
          <w:sz w:val="21"/>
          <w:szCs w:val="21"/>
        </w:rPr>
        <w:t>总则</w:t>
      </w:r>
      <w:bookmarkEnd w:id="11"/>
    </w:p>
    <w:p>
      <w:pPr>
        <w:pStyle w:val="53"/>
        <w:numPr>
          <w:ilvl w:val="1"/>
          <w:numId w:val="1"/>
        </w:numPr>
        <w:wordWrap w:val="0"/>
        <w:autoSpaceDE/>
        <w:autoSpaceDN/>
        <w:snapToGrid/>
        <w:jc w:val="both"/>
      </w:pPr>
      <w:r>
        <w:rPr>
          <w:rFonts w:hint="eastAsia" w:ascii="宋体" w:hAnsi="宋体" w:eastAsia="宋体" w:cs="宋体"/>
          <w:sz w:val="21"/>
          <w:szCs w:val="21"/>
        </w:rPr>
        <w:t>应选购符合GB17761规定，获得国家强制性产品认证（CCC认证）的电动自行车。</w:t>
      </w:r>
    </w:p>
    <w:p>
      <w:pPr>
        <w:pStyle w:val="53"/>
        <w:numPr>
          <w:ilvl w:val="1"/>
          <w:numId w:val="1"/>
        </w:numPr>
        <w:wordWrap w:val="0"/>
        <w:autoSpaceDE/>
        <w:autoSpaceDN/>
        <w:snapToGrid/>
        <w:jc w:val="both"/>
      </w:pPr>
      <w:r>
        <w:rPr>
          <w:rFonts w:hint="eastAsia" w:ascii="宋体" w:hAnsi="宋体" w:eastAsia="宋体" w:cs="宋体"/>
          <w:sz w:val="21"/>
          <w:szCs w:val="21"/>
        </w:rPr>
        <w:t>电动自行车的使用、充电、维护保养应符合产品说明书的有关要求。</w:t>
      </w:r>
    </w:p>
    <w:p>
      <w:pPr>
        <w:pStyle w:val="53"/>
        <w:numPr>
          <w:ilvl w:val="1"/>
          <w:numId w:val="1"/>
        </w:numPr>
        <w:wordWrap w:val="0"/>
        <w:autoSpaceDE/>
        <w:autoSpaceDN/>
        <w:snapToGrid/>
        <w:jc w:val="both"/>
      </w:pPr>
      <w:r>
        <w:rPr>
          <w:rFonts w:hint="eastAsia" w:ascii="宋体" w:hAnsi="宋体" w:eastAsia="宋体" w:cs="宋体"/>
          <w:sz w:val="21"/>
          <w:szCs w:val="21"/>
        </w:rPr>
        <w:t>停放电动自行车或为电动自行车充电，宜采取集中停放、集中充电的方式。</w:t>
      </w:r>
    </w:p>
    <w:p>
      <w:pPr>
        <w:pStyle w:val="53"/>
        <w:numPr>
          <w:ilvl w:val="1"/>
          <w:numId w:val="1"/>
        </w:numPr>
        <w:wordWrap w:val="0"/>
        <w:autoSpaceDE/>
        <w:autoSpaceDN/>
        <w:snapToGrid/>
        <w:jc w:val="both"/>
      </w:pPr>
      <w:r>
        <w:rPr>
          <w:rFonts w:hint="eastAsia" w:ascii="宋体" w:hAnsi="宋体" w:eastAsia="宋体" w:cs="宋体"/>
          <w:sz w:val="21"/>
          <w:szCs w:val="21"/>
        </w:rPr>
        <w:t>新建、改建、扩建公共建筑、住宅建筑时，应同步规划建设电动自行车停放充电场所。已建成投入使用的公共建筑、住宅建筑，应按照区域内电动自行车保有量等实际情况建设电动自行车停放充电场所。</w:t>
      </w:r>
    </w:p>
    <w:p>
      <w:pPr>
        <w:pStyle w:val="53"/>
        <w:numPr>
          <w:ilvl w:val="1"/>
          <w:numId w:val="1"/>
        </w:numPr>
        <w:wordWrap w:val="0"/>
        <w:autoSpaceDE/>
        <w:autoSpaceDN/>
        <w:snapToGrid/>
        <w:jc w:val="both"/>
      </w:pPr>
      <w:r>
        <w:rPr>
          <w:rFonts w:hint="eastAsia" w:ascii="宋体" w:hAnsi="宋体" w:eastAsia="宋体" w:cs="宋体"/>
          <w:sz w:val="21"/>
          <w:szCs w:val="21"/>
        </w:rPr>
        <w:t>电动自行车停放和充电应选择指定的固定区域或电动自行车停放充电场所。临时停放时，宜选择空旷场地等相对安全的地点。</w:t>
      </w:r>
    </w:p>
    <w:p>
      <w:pPr>
        <w:pStyle w:val="53"/>
        <w:numPr>
          <w:ilvl w:val="1"/>
          <w:numId w:val="1"/>
        </w:numPr>
        <w:wordWrap w:val="0"/>
        <w:autoSpaceDE/>
        <w:autoSpaceDN/>
        <w:snapToGrid/>
        <w:jc w:val="both"/>
      </w:pPr>
      <w:r>
        <w:rPr>
          <w:rFonts w:hint="eastAsia" w:ascii="宋体" w:hAnsi="宋体" w:eastAsia="宋体" w:cs="宋体"/>
          <w:sz w:val="21"/>
          <w:szCs w:val="21"/>
        </w:rPr>
        <w:t>鼓励积极采用电梯阻入、电池定位、电子围栏等先进的技术防范措施规范电动自行车停放、充电行为。</w:t>
      </w:r>
    </w:p>
    <w:p>
      <w:pPr>
        <w:pStyle w:val="53"/>
        <w:numPr>
          <w:ilvl w:val="1"/>
          <w:numId w:val="1"/>
        </w:numPr>
        <w:wordWrap w:val="0"/>
        <w:autoSpaceDE/>
        <w:autoSpaceDN/>
        <w:snapToGrid/>
        <w:jc w:val="both"/>
      </w:pPr>
      <w:r>
        <w:rPr>
          <w:rFonts w:hint="eastAsia" w:ascii="宋体" w:hAnsi="宋体" w:eastAsia="宋体" w:cs="宋体"/>
          <w:sz w:val="21"/>
          <w:szCs w:val="21"/>
        </w:rPr>
        <w:t>不应在建筑内的共用走道、楼梯间、安全出口处等公共区域及个人住房、人员密集场所内停放电动自行车或者为电动自行车充电。</w:t>
      </w:r>
    </w:p>
    <w:p>
      <w:pPr>
        <w:pStyle w:val="53"/>
        <w:numPr>
          <w:ilvl w:val="1"/>
          <w:numId w:val="1"/>
        </w:numPr>
        <w:wordWrap w:val="0"/>
        <w:autoSpaceDE/>
        <w:autoSpaceDN/>
        <w:snapToGrid/>
        <w:jc w:val="both"/>
      </w:pPr>
      <w:r>
        <w:rPr>
          <w:rFonts w:hint="eastAsia" w:ascii="宋体" w:hAnsi="宋体" w:eastAsia="宋体" w:cs="宋体"/>
          <w:sz w:val="21"/>
          <w:szCs w:val="21"/>
        </w:rPr>
        <w:t>不应使用电梯轿厢运载电动自行车。</w:t>
      </w:r>
    </w:p>
    <w:p>
      <w:pPr>
        <w:pStyle w:val="53"/>
        <w:numPr>
          <w:ilvl w:val="1"/>
          <w:numId w:val="1"/>
        </w:numPr>
        <w:wordWrap w:val="0"/>
        <w:autoSpaceDE/>
        <w:autoSpaceDN/>
        <w:snapToGrid/>
        <w:jc w:val="both"/>
      </w:pPr>
      <w:r>
        <w:rPr>
          <w:rFonts w:hint="eastAsia" w:ascii="宋体" w:hAnsi="宋体" w:eastAsia="宋体" w:cs="宋体"/>
          <w:sz w:val="21"/>
          <w:szCs w:val="21"/>
        </w:rPr>
        <w:t>不应随意拆卸、更换或改装电动自行车电器部件。</w:t>
      </w:r>
    </w:p>
    <w:p>
      <w:pPr>
        <w:rPr>
          <w:rFonts w:hint="eastAsia"/>
          <w:lang w:val="en-US" w:eastAsia="zh-CN"/>
        </w:rPr>
        <w:sectPr>
          <w:headerReference r:id="rId13" w:type="default"/>
          <w:footerReference r:id="rId14" w:type="default"/>
          <w:pgSz w:w="11906" w:h="16838"/>
          <w:pgMar w:top="1417" w:right="1134" w:bottom="1079" w:left="1417" w:header="850" w:footer="680" w:gutter="0"/>
          <w:pgNumType w:fmt="decimal"/>
          <w:cols w:space="425" w:num="1"/>
          <w:docGrid w:type="lines" w:linePitch="312" w:charSpace="0"/>
        </w:sectPr>
      </w:pPr>
    </w:p>
    <w:p>
      <w:pPr>
        <w:pStyle w:val="51"/>
        <w:numPr>
          <w:ilvl w:val="0"/>
          <w:numId w:val="1"/>
        </w:numPr>
        <w:wordWrap w:val="0"/>
        <w:autoSpaceDE/>
        <w:autoSpaceDN/>
        <w:snapToGrid w:val="0"/>
        <w:jc w:val="both"/>
        <w:outlineLvl w:val="0"/>
      </w:pPr>
      <w:bookmarkStart w:id="12" w:name="_Toc6983c752-2e35-46a4-9a3c-1ae1a3b11606"/>
      <w:r>
        <w:rPr>
          <w:rFonts w:hint="eastAsia" w:ascii="黑体" w:hAnsi="黑体" w:eastAsia="黑体" w:cs="黑体"/>
          <w:sz w:val="21"/>
          <w:szCs w:val="21"/>
        </w:rPr>
        <w:t>使用</w:t>
      </w:r>
      <w:bookmarkEnd w:id="12"/>
    </w:p>
    <w:p>
      <w:pPr>
        <w:pStyle w:val="53"/>
        <w:numPr>
          <w:ilvl w:val="1"/>
          <w:numId w:val="1"/>
        </w:numPr>
        <w:wordWrap w:val="0"/>
        <w:autoSpaceDE/>
        <w:autoSpaceDN/>
        <w:snapToGrid/>
        <w:jc w:val="both"/>
      </w:pPr>
      <w:r>
        <w:rPr>
          <w:rFonts w:hint="eastAsia" w:ascii="宋体" w:hAnsi="宋体" w:eastAsia="宋体" w:cs="宋体"/>
          <w:sz w:val="21"/>
          <w:szCs w:val="21"/>
        </w:rPr>
        <w:t>行车前，应检查电源电路、灯光照明电路等工作状态是否正常。</w:t>
      </w:r>
    </w:p>
    <w:p>
      <w:pPr>
        <w:pStyle w:val="53"/>
        <w:numPr>
          <w:ilvl w:val="1"/>
          <w:numId w:val="1"/>
        </w:numPr>
        <w:wordWrap w:val="0"/>
        <w:autoSpaceDE/>
        <w:autoSpaceDN/>
        <w:snapToGrid/>
        <w:jc w:val="both"/>
      </w:pPr>
      <w:r>
        <w:rPr>
          <w:rFonts w:hint="eastAsia" w:ascii="宋体" w:hAnsi="宋体" w:eastAsia="宋体" w:cs="宋体"/>
          <w:sz w:val="21"/>
          <w:szCs w:val="21"/>
        </w:rPr>
        <w:t>在雨天积水路段行驶，水位高度不应超过电动轮毂轴承座的下沿，应防止水位淹没电机、蓄电池等带电部位。</w:t>
      </w:r>
    </w:p>
    <w:p>
      <w:pPr>
        <w:pStyle w:val="53"/>
        <w:numPr>
          <w:ilvl w:val="1"/>
          <w:numId w:val="1"/>
        </w:numPr>
        <w:wordWrap w:val="0"/>
        <w:autoSpaceDE/>
        <w:autoSpaceDN/>
        <w:snapToGrid/>
        <w:jc w:val="both"/>
      </w:pPr>
      <w:r>
        <w:rPr>
          <w:rFonts w:hint="eastAsia" w:ascii="宋体" w:hAnsi="宋体" w:eastAsia="宋体" w:cs="宋体"/>
          <w:sz w:val="21"/>
          <w:szCs w:val="21"/>
        </w:rPr>
        <w:t>电动自行车出现故障报警等信号，应立即停止电动自行车运行。</w:t>
      </w:r>
    </w:p>
    <w:p>
      <w:pPr>
        <w:rPr>
          <w:rFonts w:hint="eastAsia"/>
          <w:lang w:val="en-US" w:eastAsia="zh-CN"/>
        </w:rPr>
        <w:sectPr>
          <w:headerReference r:id="rId15" w:type="default"/>
          <w:footerReference r:id="rId16" w:type="default"/>
          <w:pgSz w:w="11906" w:h="16838"/>
          <w:pgMar w:top="1417" w:right="1134" w:bottom="1079" w:left="1417" w:header="850" w:footer="680" w:gutter="0"/>
          <w:pgNumType w:fmt="decimal"/>
          <w:cols w:space="425" w:num="1"/>
          <w:docGrid w:type="lines" w:linePitch="312" w:charSpace="0"/>
        </w:sectPr>
      </w:pPr>
    </w:p>
    <w:p>
      <w:pPr>
        <w:pStyle w:val="51"/>
        <w:numPr>
          <w:ilvl w:val="0"/>
          <w:numId w:val="1"/>
        </w:numPr>
        <w:wordWrap w:val="0"/>
        <w:autoSpaceDE/>
        <w:autoSpaceDN/>
        <w:snapToGrid w:val="0"/>
        <w:jc w:val="both"/>
        <w:outlineLvl w:val="0"/>
      </w:pPr>
      <w:bookmarkStart w:id="13" w:name="_Tocf9398fd6-90d5-491d-a75f-41f750549446"/>
      <w:r>
        <w:rPr>
          <w:rFonts w:hint="eastAsia" w:ascii="黑体" w:hAnsi="黑体" w:eastAsia="黑体" w:cs="黑体"/>
          <w:sz w:val="21"/>
          <w:szCs w:val="21"/>
        </w:rPr>
        <w:t>停放</w:t>
      </w:r>
      <w:bookmarkEnd w:id="13"/>
    </w:p>
    <w:p>
      <w:pPr>
        <w:pStyle w:val="53"/>
        <w:numPr>
          <w:ilvl w:val="1"/>
          <w:numId w:val="1"/>
        </w:numPr>
        <w:wordWrap w:val="0"/>
        <w:autoSpaceDE/>
        <w:autoSpaceDN/>
        <w:snapToGrid/>
        <w:jc w:val="both"/>
      </w:pPr>
      <w:r>
        <w:rPr>
          <w:rFonts w:hint="eastAsia" w:ascii="宋体" w:hAnsi="宋体" w:eastAsia="宋体" w:cs="宋体"/>
          <w:sz w:val="21"/>
          <w:szCs w:val="21"/>
        </w:rPr>
        <w:t>电动自行车停放时，应关闭电源锁，断电停放。</w:t>
      </w:r>
    </w:p>
    <w:p>
      <w:pPr>
        <w:pStyle w:val="53"/>
        <w:numPr>
          <w:ilvl w:val="1"/>
          <w:numId w:val="1"/>
        </w:numPr>
        <w:wordWrap w:val="0"/>
        <w:autoSpaceDE/>
        <w:autoSpaceDN/>
        <w:snapToGrid/>
        <w:jc w:val="both"/>
      </w:pPr>
      <w:r>
        <w:rPr>
          <w:rFonts w:hint="eastAsia" w:ascii="宋体" w:hAnsi="宋体" w:eastAsia="宋体" w:cs="宋体"/>
          <w:sz w:val="21"/>
          <w:szCs w:val="21"/>
        </w:rPr>
        <w:t>电动自行车宜停放在开敞式或半开敞式专用停放场所，车身周边2.0m范围内不应有可燃物堆放，应远离易燃易爆物品。</w:t>
      </w:r>
    </w:p>
    <w:p>
      <w:pPr>
        <w:pStyle w:val="53"/>
        <w:numPr>
          <w:ilvl w:val="1"/>
          <w:numId w:val="1"/>
        </w:numPr>
        <w:wordWrap w:val="0"/>
        <w:autoSpaceDE/>
        <w:autoSpaceDN/>
        <w:snapToGrid/>
        <w:jc w:val="both"/>
      </w:pPr>
      <w:r>
        <w:rPr>
          <w:rFonts w:hint="eastAsia" w:ascii="宋体" w:hAnsi="宋体" w:eastAsia="宋体" w:cs="宋体"/>
          <w:sz w:val="21"/>
          <w:szCs w:val="21"/>
        </w:rPr>
        <w:t>不应将易燃易爆危险品等留滞在电动自行车纳物箱内。</w:t>
      </w:r>
    </w:p>
    <w:p>
      <w:pPr>
        <w:pStyle w:val="53"/>
        <w:numPr>
          <w:ilvl w:val="1"/>
          <w:numId w:val="1"/>
        </w:numPr>
        <w:wordWrap w:val="0"/>
        <w:autoSpaceDE/>
        <w:autoSpaceDN/>
        <w:snapToGrid/>
        <w:jc w:val="both"/>
      </w:pPr>
      <w:r>
        <w:rPr>
          <w:rFonts w:hint="eastAsia" w:ascii="宋体" w:hAnsi="宋体" w:eastAsia="宋体" w:cs="宋体"/>
          <w:sz w:val="21"/>
          <w:szCs w:val="21"/>
        </w:rPr>
        <w:t>电动自行车停放应远离燃气设施、变配电设施等安全重点部位，间距不应小于5.0m。</w:t>
      </w:r>
    </w:p>
    <w:p>
      <w:pPr>
        <w:pStyle w:val="53"/>
        <w:numPr>
          <w:ilvl w:val="1"/>
          <w:numId w:val="1"/>
        </w:numPr>
        <w:wordWrap w:val="0"/>
        <w:autoSpaceDE/>
        <w:autoSpaceDN/>
        <w:snapToGrid/>
        <w:jc w:val="both"/>
      </w:pPr>
      <w:r>
        <w:rPr>
          <w:rFonts w:hint="eastAsia" w:ascii="宋体" w:hAnsi="宋体" w:eastAsia="宋体" w:cs="宋体"/>
          <w:sz w:val="21"/>
          <w:szCs w:val="21"/>
        </w:rPr>
        <w:t>电动自行车长时间存放时，应在关闭电源后，及时卸下蓄电池，并将蓄电池与车身分开存放，保持直立，存放在阴凉处。</w:t>
      </w:r>
    </w:p>
    <w:p>
      <w:pPr>
        <w:rPr>
          <w:rFonts w:hint="eastAsia"/>
          <w:lang w:val="en-US" w:eastAsia="zh-CN"/>
        </w:rPr>
        <w:sectPr>
          <w:headerReference r:id="rId17" w:type="default"/>
          <w:footerReference r:id="rId18" w:type="default"/>
          <w:pgSz w:w="11906" w:h="16838"/>
          <w:pgMar w:top="1417" w:right="1134" w:bottom="1079" w:left="1417" w:header="850" w:footer="680" w:gutter="0"/>
          <w:pgNumType w:fmt="decimal"/>
          <w:cols w:space="425" w:num="1"/>
          <w:docGrid w:type="lines" w:linePitch="312" w:charSpace="0"/>
        </w:sectPr>
      </w:pPr>
    </w:p>
    <w:p>
      <w:pPr>
        <w:pStyle w:val="51"/>
        <w:numPr>
          <w:ilvl w:val="0"/>
          <w:numId w:val="1"/>
        </w:numPr>
        <w:wordWrap w:val="0"/>
        <w:autoSpaceDE/>
        <w:autoSpaceDN/>
        <w:snapToGrid w:val="0"/>
        <w:jc w:val="both"/>
        <w:outlineLvl w:val="0"/>
      </w:pPr>
      <w:bookmarkStart w:id="14" w:name="_Toc04434b63-4b18-43be-92a1-a4f8ad016815"/>
      <w:r>
        <w:rPr>
          <w:rFonts w:hint="eastAsia" w:ascii="黑体" w:hAnsi="黑体" w:eastAsia="黑体" w:cs="黑体"/>
          <w:sz w:val="21"/>
          <w:szCs w:val="21"/>
        </w:rPr>
        <w:t>充电</w:t>
      </w:r>
      <w:bookmarkEnd w:id="14"/>
    </w:p>
    <w:p>
      <w:pPr>
        <w:pStyle w:val="53"/>
        <w:numPr>
          <w:ilvl w:val="1"/>
          <w:numId w:val="1"/>
        </w:numPr>
        <w:wordWrap w:val="0"/>
        <w:autoSpaceDE/>
        <w:autoSpaceDN/>
        <w:snapToGrid/>
        <w:jc w:val="both"/>
      </w:pPr>
      <w:r>
        <w:rPr>
          <w:rFonts w:hint="eastAsia" w:ascii="宋体" w:hAnsi="宋体" w:eastAsia="宋体" w:cs="宋体"/>
          <w:sz w:val="21"/>
          <w:szCs w:val="21"/>
        </w:rPr>
        <w:t>电动自行车应在符合消防安全技术标准的固定停放充电场所进行充电。</w:t>
      </w:r>
    </w:p>
    <w:p>
      <w:pPr>
        <w:pStyle w:val="53"/>
        <w:numPr>
          <w:ilvl w:val="1"/>
          <w:numId w:val="1"/>
        </w:numPr>
        <w:wordWrap w:val="0"/>
        <w:autoSpaceDE/>
        <w:autoSpaceDN/>
        <w:snapToGrid/>
        <w:jc w:val="both"/>
      </w:pPr>
      <w:r>
        <w:rPr>
          <w:rFonts w:hint="eastAsia" w:ascii="宋体" w:hAnsi="宋体" w:eastAsia="宋体" w:cs="宋体"/>
          <w:sz w:val="21"/>
          <w:szCs w:val="21"/>
        </w:rPr>
        <w:t>电动自行车充电方式、充电时长应遵守产品说明书要求，不应一座多充，每次最长充电时间不宜大于8h。</w:t>
      </w:r>
    </w:p>
    <w:p>
      <w:pPr>
        <w:pStyle w:val="53"/>
        <w:numPr>
          <w:ilvl w:val="1"/>
          <w:numId w:val="1"/>
        </w:numPr>
        <w:wordWrap w:val="0"/>
        <w:autoSpaceDE/>
        <w:autoSpaceDN/>
        <w:snapToGrid/>
        <w:jc w:val="both"/>
      </w:pPr>
      <w:r>
        <w:rPr>
          <w:rFonts w:hint="eastAsia" w:ascii="宋体" w:hAnsi="宋体" w:eastAsia="宋体" w:cs="宋体"/>
          <w:sz w:val="21"/>
          <w:szCs w:val="21"/>
        </w:rPr>
        <w:t>充电前，应检查充电设施是否处于正常状态，并关闭电动自行车电源拔出钥匙。</w:t>
      </w:r>
    </w:p>
    <w:p>
      <w:pPr>
        <w:pStyle w:val="53"/>
        <w:numPr>
          <w:ilvl w:val="1"/>
          <w:numId w:val="1"/>
        </w:numPr>
        <w:wordWrap w:val="0"/>
        <w:autoSpaceDE/>
        <w:autoSpaceDN/>
        <w:snapToGrid/>
        <w:jc w:val="both"/>
      </w:pPr>
      <w:r>
        <w:rPr>
          <w:rFonts w:hint="eastAsia" w:ascii="宋体" w:hAnsi="宋体" w:eastAsia="宋体" w:cs="宋体"/>
          <w:sz w:val="21"/>
          <w:szCs w:val="21"/>
        </w:rPr>
        <w:t>充电期间，充电器应放置在平稳的支撑物上，不应放在鞍座或尾箱内，不应在蓄电池和充电器上加盖任何物品。</w:t>
      </w:r>
    </w:p>
    <w:p>
      <w:pPr>
        <w:pStyle w:val="53"/>
        <w:numPr>
          <w:ilvl w:val="1"/>
          <w:numId w:val="1"/>
        </w:numPr>
        <w:wordWrap w:val="0"/>
        <w:autoSpaceDE/>
        <w:autoSpaceDN/>
        <w:snapToGrid/>
        <w:jc w:val="both"/>
      </w:pPr>
      <w:r>
        <w:rPr>
          <w:rFonts w:hint="eastAsia" w:ascii="宋体" w:hAnsi="宋体" w:eastAsia="宋体" w:cs="宋体"/>
          <w:sz w:val="21"/>
          <w:szCs w:val="21"/>
        </w:rPr>
        <w:t>充电时，不应混用不同品牌、不同种类、不同规格的电池和充电器，不应使用任何非原装快充设备充电。</w:t>
      </w:r>
    </w:p>
    <w:p>
      <w:pPr>
        <w:pStyle w:val="53"/>
        <w:numPr>
          <w:ilvl w:val="1"/>
          <w:numId w:val="1"/>
        </w:numPr>
        <w:wordWrap w:val="0"/>
        <w:autoSpaceDE/>
        <w:autoSpaceDN/>
        <w:snapToGrid/>
        <w:jc w:val="both"/>
      </w:pPr>
      <w:r>
        <w:rPr>
          <w:rFonts w:hint="eastAsia" w:ascii="宋体" w:hAnsi="宋体" w:eastAsia="宋体" w:cs="宋体"/>
          <w:sz w:val="21"/>
          <w:szCs w:val="21"/>
        </w:rPr>
        <w:t>电动自行车不应采用拉接临时电源线路、插座和开关的方式充电，明敷的电气线路1.0m范围内不应有可燃物堆放。</w:t>
      </w:r>
    </w:p>
    <w:p>
      <w:pPr>
        <w:pStyle w:val="53"/>
        <w:numPr>
          <w:ilvl w:val="1"/>
          <w:numId w:val="1"/>
        </w:numPr>
        <w:wordWrap w:val="0"/>
        <w:autoSpaceDE/>
        <w:autoSpaceDN/>
        <w:snapToGrid/>
        <w:jc w:val="both"/>
      </w:pPr>
      <w:r>
        <w:rPr>
          <w:rFonts w:hint="eastAsia" w:ascii="宋体" w:hAnsi="宋体" w:eastAsia="宋体" w:cs="宋体"/>
          <w:sz w:val="21"/>
          <w:szCs w:val="21"/>
        </w:rPr>
        <w:t>充电期间，应保持电动自行车周边通风干燥，不应在阳光直射、过量油烟、粉尘等环境下充电。</w:t>
      </w:r>
    </w:p>
    <w:p>
      <w:pPr>
        <w:pStyle w:val="53"/>
        <w:numPr>
          <w:ilvl w:val="1"/>
          <w:numId w:val="1"/>
        </w:numPr>
        <w:wordWrap w:val="0"/>
        <w:autoSpaceDE/>
        <w:autoSpaceDN/>
        <w:snapToGrid/>
        <w:jc w:val="both"/>
      </w:pPr>
      <w:r>
        <w:rPr>
          <w:rFonts w:hint="eastAsia" w:ascii="宋体" w:hAnsi="宋体" w:eastAsia="宋体" w:cs="宋体"/>
          <w:sz w:val="21"/>
          <w:szCs w:val="21"/>
        </w:rPr>
        <w:t>充电过程中，发现指示灯异常、充电器外壳过热、电池鼓胀等不良现象，应立即停止充电，并对充电器及电池进行送检维修或更换。</w:t>
      </w:r>
    </w:p>
    <w:p>
      <w:pPr>
        <w:rPr>
          <w:rFonts w:hint="eastAsia"/>
          <w:lang w:val="en-US" w:eastAsia="zh-CN"/>
        </w:rPr>
        <w:sectPr>
          <w:headerReference r:id="rId19" w:type="default"/>
          <w:footerReference r:id="rId20" w:type="default"/>
          <w:pgSz w:w="11906" w:h="16838"/>
          <w:pgMar w:top="1417" w:right="1134" w:bottom="1079" w:left="1417" w:header="850" w:footer="680" w:gutter="0"/>
          <w:pgNumType w:fmt="decimal"/>
          <w:cols w:space="425" w:num="1"/>
          <w:docGrid w:type="lines" w:linePitch="312" w:charSpace="0"/>
        </w:sectPr>
      </w:pPr>
    </w:p>
    <w:p>
      <w:pPr>
        <w:pStyle w:val="51"/>
        <w:numPr>
          <w:ilvl w:val="0"/>
          <w:numId w:val="1"/>
        </w:numPr>
        <w:wordWrap w:val="0"/>
        <w:autoSpaceDE/>
        <w:autoSpaceDN/>
        <w:snapToGrid w:val="0"/>
        <w:jc w:val="both"/>
        <w:outlineLvl w:val="0"/>
      </w:pPr>
      <w:bookmarkStart w:id="15" w:name="_Toc1e65ee3b-b0d7-47b2-b7ad-fff1dfbd9c3c"/>
      <w:r>
        <w:rPr>
          <w:rFonts w:hint="eastAsia" w:ascii="黑体" w:hAnsi="黑体" w:eastAsia="黑体" w:cs="黑体"/>
          <w:sz w:val="21"/>
          <w:szCs w:val="21"/>
        </w:rPr>
        <w:t>维护保养</w:t>
      </w:r>
      <w:bookmarkEnd w:id="15"/>
    </w:p>
    <w:p>
      <w:pPr>
        <w:pStyle w:val="53"/>
        <w:numPr>
          <w:ilvl w:val="1"/>
          <w:numId w:val="1"/>
        </w:numPr>
        <w:wordWrap w:val="0"/>
        <w:autoSpaceDE/>
        <w:autoSpaceDN/>
        <w:snapToGrid/>
        <w:jc w:val="both"/>
      </w:pPr>
      <w:r>
        <w:rPr>
          <w:rFonts w:hint="eastAsia" w:ascii="宋体" w:hAnsi="宋体" w:eastAsia="宋体" w:cs="宋体"/>
          <w:sz w:val="21"/>
          <w:szCs w:val="21"/>
        </w:rPr>
        <w:t>电动自行车电器组件应保持干燥。清洁车辆时，宜用干燥清洁的毛巾对整车进行擦拭，不应使用蒸汽或高压水柱冲洗车辆，不应用水流冲洗充电插口、线束接插件及保险丝管等电器部件。</w:t>
      </w:r>
    </w:p>
    <w:p>
      <w:pPr>
        <w:pStyle w:val="53"/>
        <w:numPr>
          <w:ilvl w:val="1"/>
          <w:numId w:val="1"/>
        </w:numPr>
        <w:wordWrap w:val="0"/>
        <w:autoSpaceDE/>
        <w:autoSpaceDN/>
        <w:snapToGrid/>
        <w:jc w:val="both"/>
      </w:pPr>
      <w:r>
        <w:rPr>
          <w:rFonts w:hint="eastAsia" w:ascii="宋体" w:hAnsi="宋体" w:eastAsia="宋体" w:cs="宋体"/>
          <w:sz w:val="21"/>
          <w:szCs w:val="21"/>
        </w:rPr>
        <w:t>电动自行车出现故障时，应到电动自行车原厂指定维修点或有相关资质的维修服务单位进行检修，不应由非专业人员进行维修操作。</w:t>
      </w:r>
    </w:p>
    <w:p>
      <w:pPr>
        <w:pStyle w:val="53"/>
        <w:numPr>
          <w:ilvl w:val="1"/>
          <w:numId w:val="1"/>
        </w:numPr>
        <w:wordWrap w:val="0"/>
        <w:autoSpaceDE/>
        <w:autoSpaceDN/>
        <w:snapToGrid/>
        <w:jc w:val="both"/>
      </w:pPr>
      <w:r>
        <w:rPr>
          <w:rFonts w:hint="eastAsia" w:ascii="宋体" w:hAnsi="宋体" w:eastAsia="宋体" w:cs="宋体"/>
          <w:sz w:val="21"/>
          <w:szCs w:val="21"/>
        </w:rPr>
        <w:t>更换蓄电池时，应由专业人员按车辆整车示意图、电池安装图和电气原理图进行安装更换，蓄电池连接线应同时更换。</w:t>
      </w:r>
    </w:p>
    <w:p>
      <w:pPr>
        <w:pStyle w:val="53"/>
        <w:numPr>
          <w:ilvl w:val="1"/>
          <w:numId w:val="1"/>
        </w:numPr>
        <w:wordWrap w:val="0"/>
        <w:autoSpaceDE/>
        <w:autoSpaceDN/>
        <w:snapToGrid/>
        <w:jc w:val="both"/>
      </w:pPr>
      <w:r>
        <w:rPr>
          <w:rFonts w:hint="eastAsia" w:ascii="宋体" w:hAnsi="宋体" w:eastAsia="宋体" w:cs="宋体"/>
          <w:sz w:val="21"/>
          <w:szCs w:val="21"/>
        </w:rPr>
        <w:t>更换充电器时，应选择与蓄电池型号匹配的合格充电器产品。</w:t>
      </w:r>
    </w:p>
    <w:p>
      <w:pPr>
        <w:pStyle w:val="53"/>
        <w:numPr>
          <w:ilvl w:val="1"/>
          <w:numId w:val="1"/>
        </w:numPr>
        <w:wordWrap w:val="0"/>
        <w:autoSpaceDE/>
        <w:autoSpaceDN/>
        <w:snapToGrid/>
        <w:jc w:val="both"/>
      </w:pPr>
      <w:r>
        <w:rPr>
          <w:rFonts w:hint="eastAsia" w:ascii="宋体" w:hAnsi="宋体" w:eastAsia="宋体" w:cs="宋体"/>
          <w:sz w:val="21"/>
          <w:szCs w:val="21"/>
        </w:rPr>
        <w:t>骑行遇雷雨暴雨天气后，应对电动自行车进行全面检查：</w:t>
      </w:r>
    </w:p>
    <w:p>
      <w:pPr>
        <w:numPr>
          <w:ilvl w:val="0"/>
          <w:numId w:val="2"/>
        </w:numPr>
        <w:wordWrap w:val="0"/>
        <w:autoSpaceDE/>
        <w:autoSpaceDN/>
        <w:snapToGrid/>
        <w:ind w:left="840" w:leftChars="0" w:hanging="420"/>
        <w:jc w:val="both"/>
      </w:pPr>
      <w:r>
        <w:rPr>
          <w:rFonts w:hint="eastAsia" w:ascii="宋体" w:hAnsi="宋体" w:eastAsia="宋体" w:cs="宋体"/>
          <w:sz w:val="21"/>
          <w:szCs w:val="21"/>
        </w:rPr>
        <w:t>不应带水启动。擦拭干各处水渍、污物、晾晒干后，检查各接插口、电池连接端子等为干燥状态，再启动或充电，以防止出现电源短路、控制器或电机烧毁等危险情况；</w:t>
      </w:r>
    </w:p>
    <w:p>
      <w:pPr>
        <w:numPr>
          <w:ilvl w:val="0"/>
          <w:numId w:val="2"/>
        </w:numPr>
        <w:wordWrap w:val="0"/>
        <w:autoSpaceDE/>
        <w:autoSpaceDN/>
        <w:snapToGrid/>
        <w:ind w:left="840" w:leftChars="0" w:hanging="420"/>
        <w:jc w:val="both"/>
      </w:pPr>
      <w:r>
        <w:rPr>
          <w:rFonts w:hint="eastAsia" w:ascii="宋体" w:hAnsi="宋体" w:eastAsia="宋体" w:cs="宋体"/>
          <w:sz w:val="21"/>
          <w:szCs w:val="21"/>
        </w:rPr>
        <w:t>重度泡水的电动自行车，应前往就近门店/维修点由专业人员检测、维修，重度泡水电池建议更换原装正品电池。</w:t>
      </w:r>
    </w:p>
    <w:p>
      <w:pPr>
        <w:rPr>
          <w:rFonts w:hint="eastAsia"/>
          <w:lang w:val="en-US" w:eastAsia="zh-CN"/>
        </w:rPr>
        <w:sectPr>
          <w:headerReference r:id="rId21" w:type="default"/>
          <w:footerReference r:id="rId22" w:type="default"/>
          <w:pgSz w:w="11906" w:h="16838"/>
          <w:pgMar w:top="1417" w:right="1134" w:bottom="1079" w:left="1417" w:header="850" w:footer="680" w:gutter="0"/>
          <w:pgNumType w:fmt="decimal"/>
          <w:cols w:space="425" w:num="1"/>
          <w:docGrid w:type="lines" w:linePitch="312" w:charSpace="0"/>
        </w:sectPr>
      </w:pPr>
    </w:p>
    <w:p>
      <w:pPr>
        <w:pStyle w:val="51"/>
        <w:numPr>
          <w:ilvl w:val="0"/>
          <w:numId w:val="1"/>
        </w:numPr>
        <w:wordWrap w:val="0"/>
        <w:autoSpaceDE/>
        <w:autoSpaceDN/>
        <w:snapToGrid w:val="0"/>
        <w:jc w:val="both"/>
        <w:outlineLvl w:val="0"/>
      </w:pPr>
      <w:bookmarkStart w:id="16" w:name="_Toce0fc57ca-18b9-4699-a1a6-af205cfb370e"/>
      <w:r>
        <w:rPr>
          <w:rFonts w:hint="eastAsia" w:ascii="黑体" w:hAnsi="黑体" w:eastAsia="黑体" w:cs="黑体"/>
          <w:sz w:val="21"/>
          <w:szCs w:val="21"/>
        </w:rPr>
        <w:t>电动自行车停放充电场所</w:t>
      </w:r>
      <w:bookmarkEnd w:id="16"/>
    </w:p>
    <w:p>
      <w:pPr>
        <w:pStyle w:val="52"/>
        <w:numPr>
          <w:ilvl w:val="1"/>
          <w:numId w:val="1"/>
        </w:numPr>
        <w:wordWrap w:val="0"/>
        <w:autoSpaceDE/>
        <w:autoSpaceDN/>
        <w:snapToGrid w:val="0"/>
        <w:jc w:val="both"/>
        <w:outlineLvl w:val="1"/>
      </w:pPr>
      <w:bookmarkStart w:id="17" w:name="_Toc1071fb5f-816b-4bd9-951b-814983e3df93"/>
      <w:r>
        <w:rPr>
          <w:rFonts w:hint="eastAsia" w:ascii="黑体" w:hAnsi="黑体" w:eastAsia="黑体" w:cs="黑体"/>
          <w:sz w:val="21"/>
          <w:szCs w:val="21"/>
        </w:rPr>
        <w:t>一般规定</w:t>
      </w:r>
      <w:bookmarkEnd w:id="17"/>
    </w:p>
    <w:p>
      <w:pPr>
        <w:pStyle w:val="53"/>
        <w:numPr>
          <w:ilvl w:val="2"/>
          <w:numId w:val="1"/>
        </w:numPr>
        <w:wordWrap w:val="0"/>
        <w:autoSpaceDE/>
        <w:autoSpaceDN/>
        <w:snapToGrid/>
        <w:jc w:val="both"/>
      </w:pPr>
      <w:r>
        <w:rPr>
          <w:rFonts w:hint="eastAsia" w:ascii="宋体" w:hAnsi="宋体" w:eastAsia="宋体" w:cs="宋体"/>
          <w:sz w:val="21"/>
          <w:szCs w:val="21"/>
        </w:rPr>
        <w:t>电动自行车停放充电场所的防火设计和消防安全管理应遵守DB32/T 3904-2020有关规定。</w:t>
      </w:r>
    </w:p>
    <w:p>
      <w:pPr>
        <w:pStyle w:val="53"/>
        <w:numPr>
          <w:ilvl w:val="2"/>
          <w:numId w:val="1"/>
        </w:numPr>
        <w:wordWrap w:val="0"/>
        <w:autoSpaceDE/>
        <w:autoSpaceDN/>
        <w:snapToGrid/>
        <w:jc w:val="both"/>
      </w:pPr>
      <w:r>
        <w:rPr>
          <w:rFonts w:hint="eastAsia" w:ascii="宋体" w:hAnsi="宋体" w:eastAsia="宋体" w:cs="宋体"/>
          <w:sz w:val="21"/>
          <w:szCs w:val="21"/>
        </w:rPr>
        <w:t>电动自行车停放充电场所宜安装电气火灾监控系统，并结合灭火救援需要配备灭火毯、快速移车装置等器材。</w:t>
      </w:r>
    </w:p>
    <w:p>
      <w:pPr>
        <w:pStyle w:val="53"/>
        <w:numPr>
          <w:ilvl w:val="2"/>
          <w:numId w:val="1"/>
        </w:numPr>
        <w:wordWrap w:val="0"/>
        <w:autoSpaceDE/>
        <w:autoSpaceDN/>
        <w:snapToGrid/>
        <w:jc w:val="both"/>
      </w:pPr>
      <w:r>
        <w:rPr>
          <w:rFonts w:hint="eastAsia" w:ascii="宋体" w:hAnsi="宋体" w:eastAsia="宋体" w:cs="宋体"/>
          <w:sz w:val="21"/>
          <w:szCs w:val="21"/>
        </w:rPr>
        <w:t>利用架空层作电动自行车库时，应采用防火墙和耐火极限不小于2.00h的楼板与建筑其他区域完全隔开。防火墙上确需开设门、窗、洞口时，应设置火灾时能自动关闭的甲级防火门、窗，不应采用防火卷帘或防火分隔水幕等措施替代。电动自行车库不应占用设置在架空层内的楼梯间、疏散通道、安全出口和公共门厅，其建筑面积不应大于500m</w:t>
      </w:r>
      <w:r>
        <w:rPr>
          <w:rFonts w:hint="eastAsia" w:ascii="宋体" w:hAnsi="宋体" w:eastAsia="宋体" w:cs="宋体"/>
          <w:color w:val="B3B3B3"/>
          <w:sz w:val="21"/>
          <w:szCs w:val="21"/>
          <w:vertAlign w:val="superscript"/>
        </w:rPr>
        <w:t>2</w:t>
      </w:r>
      <w:r>
        <w:rPr>
          <w:rFonts w:hint="eastAsia" w:ascii="宋体" w:hAnsi="宋体" w:eastAsia="宋体" w:cs="宋体"/>
          <w:sz w:val="21"/>
          <w:szCs w:val="21"/>
        </w:rPr>
        <w:t>，设置自动灭火设施面积也不得增加。</w:t>
      </w:r>
    </w:p>
    <w:p>
      <w:pPr>
        <w:pStyle w:val="53"/>
        <w:numPr>
          <w:ilvl w:val="2"/>
          <w:numId w:val="1"/>
        </w:numPr>
        <w:wordWrap w:val="0"/>
        <w:autoSpaceDE/>
        <w:autoSpaceDN/>
        <w:snapToGrid/>
        <w:jc w:val="both"/>
      </w:pPr>
      <w:r>
        <w:rPr>
          <w:rFonts w:hint="eastAsia" w:ascii="宋体" w:hAnsi="宋体" w:eastAsia="宋体" w:cs="宋体"/>
          <w:sz w:val="21"/>
          <w:szCs w:val="21"/>
        </w:rPr>
        <w:t>符合DB32/T 3904-2020中6.1.3条规定的电动自行车停车场，当不需要按照电动自行车库相关要求执行时，应设置具备无线通讯功能的独立式感烟火灾报警探测器和自动喷水灭火系统。确有困难的，可安装简易喷淋系统；无消防水条件的场所，可安装其它符合国家消防技术文件的灭火设施。</w:t>
      </w:r>
    </w:p>
    <w:p>
      <w:pPr>
        <w:pStyle w:val="53"/>
        <w:numPr>
          <w:ilvl w:val="2"/>
          <w:numId w:val="1"/>
        </w:numPr>
        <w:wordWrap w:val="0"/>
        <w:autoSpaceDE/>
        <w:autoSpaceDN/>
        <w:snapToGrid/>
        <w:jc w:val="both"/>
      </w:pPr>
      <w:r>
        <w:rPr>
          <w:rFonts w:hint="eastAsia" w:ascii="宋体" w:hAnsi="宋体" w:eastAsia="宋体" w:cs="宋体"/>
          <w:sz w:val="21"/>
          <w:szCs w:val="21"/>
        </w:rPr>
        <w:t>电动自行车停放充电场所内不应设置人员住宿场所，不应存放与车辆充电、停放无关的可燃物、易燃易爆物或设备。</w:t>
      </w:r>
    </w:p>
    <w:p>
      <w:pPr>
        <w:pStyle w:val="53"/>
        <w:numPr>
          <w:ilvl w:val="2"/>
          <w:numId w:val="1"/>
        </w:numPr>
        <w:wordWrap w:val="0"/>
        <w:autoSpaceDE/>
        <w:autoSpaceDN/>
        <w:snapToGrid/>
        <w:jc w:val="both"/>
      </w:pPr>
      <w:r>
        <w:rPr>
          <w:rFonts w:hint="eastAsia" w:ascii="宋体" w:hAnsi="宋体" w:eastAsia="宋体" w:cs="宋体"/>
          <w:sz w:val="21"/>
          <w:szCs w:val="21"/>
        </w:rPr>
        <w:t>电动自行车停放充电场所设置门禁系统时，应确保断电后疏散门处于可开启状态，或设置紧急开门装置。</w:t>
      </w:r>
    </w:p>
    <w:p>
      <w:pPr>
        <w:pStyle w:val="53"/>
        <w:numPr>
          <w:ilvl w:val="2"/>
          <w:numId w:val="1"/>
        </w:numPr>
        <w:wordWrap w:val="0"/>
        <w:autoSpaceDE/>
        <w:autoSpaceDN/>
        <w:snapToGrid/>
        <w:jc w:val="both"/>
      </w:pPr>
      <w:r>
        <w:rPr>
          <w:rFonts w:hint="eastAsia" w:ascii="宋体" w:hAnsi="宋体" w:eastAsia="宋体" w:cs="宋体"/>
          <w:sz w:val="21"/>
          <w:szCs w:val="21"/>
        </w:rPr>
        <w:t>电动自行车停放充电场所宜采取有效的防雷、排水等措施；电动自行车停车场应设置防风雨棚或采用其它有效的防雨措施，并保证通风、排水通畅。</w:t>
      </w:r>
    </w:p>
    <w:p>
      <w:pPr>
        <w:pStyle w:val="53"/>
        <w:numPr>
          <w:ilvl w:val="2"/>
          <w:numId w:val="1"/>
        </w:numPr>
        <w:wordWrap w:val="0"/>
        <w:autoSpaceDE/>
        <w:autoSpaceDN/>
        <w:snapToGrid/>
        <w:jc w:val="both"/>
      </w:pPr>
      <w:r>
        <w:rPr>
          <w:rFonts w:hint="eastAsia" w:ascii="宋体" w:hAnsi="宋体" w:eastAsia="宋体" w:cs="宋体"/>
          <w:sz w:val="21"/>
          <w:szCs w:val="21"/>
        </w:rPr>
        <w:t>电动自行车停放充电场所应全域安装 24 小时视频监控系统，视频监控系统应符合下列要求：</w:t>
      </w:r>
    </w:p>
    <w:p>
      <w:pPr>
        <w:numPr>
          <w:ilvl w:val="0"/>
          <w:numId w:val="3"/>
        </w:numPr>
        <w:wordWrap w:val="0"/>
        <w:autoSpaceDE/>
        <w:autoSpaceDN/>
        <w:snapToGrid/>
        <w:ind w:left="840" w:leftChars="0" w:hanging="420"/>
        <w:jc w:val="both"/>
      </w:pPr>
      <w:r>
        <w:rPr>
          <w:rFonts w:hint="eastAsia" w:ascii="宋体" w:hAnsi="宋体" w:eastAsia="宋体" w:cs="宋体"/>
          <w:sz w:val="21"/>
          <w:szCs w:val="21"/>
        </w:rPr>
        <w:t>图像应能在值班室、控制室等场所实时显示；</w:t>
      </w:r>
    </w:p>
    <w:p>
      <w:pPr>
        <w:numPr>
          <w:ilvl w:val="0"/>
          <w:numId w:val="3"/>
        </w:numPr>
        <w:wordWrap w:val="0"/>
        <w:autoSpaceDE/>
        <w:autoSpaceDN/>
        <w:snapToGrid/>
        <w:ind w:left="840" w:leftChars="0" w:hanging="420"/>
        <w:jc w:val="both"/>
      </w:pPr>
      <w:r>
        <w:rPr>
          <w:rFonts w:hint="eastAsia" w:ascii="宋体" w:hAnsi="宋体" w:eastAsia="宋体" w:cs="宋体"/>
          <w:sz w:val="21"/>
          <w:szCs w:val="21"/>
        </w:rPr>
        <w:t>图像应具备储存、查询、回放功能；</w:t>
      </w:r>
    </w:p>
    <w:p>
      <w:pPr>
        <w:numPr>
          <w:ilvl w:val="0"/>
          <w:numId w:val="3"/>
        </w:numPr>
        <w:wordWrap w:val="0"/>
        <w:autoSpaceDE/>
        <w:autoSpaceDN/>
        <w:snapToGrid/>
        <w:ind w:left="840" w:leftChars="0" w:hanging="420"/>
        <w:jc w:val="both"/>
      </w:pPr>
      <w:r>
        <w:rPr>
          <w:rFonts w:hint="eastAsia" w:ascii="宋体" w:hAnsi="宋体" w:eastAsia="宋体" w:cs="宋体"/>
          <w:sz w:val="21"/>
          <w:szCs w:val="21"/>
        </w:rPr>
        <w:t>图像存储时间应不少于30天。</w:t>
      </w:r>
    </w:p>
    <w:p>
      <w:pPr>
        <w:pStyle w:val="53"/>
        <w:numPr>
          <w:ilvl w:val="2"/>
          <w:numId w:val="1"/>
        </w:numPr>
        <w:wordWrap w:val="0"/>
        <w:autoSpaceDE/>
        <w:autoSpaceDN/>
        <w:snapToGrid/>
        <w:jc w:val="both"/>
      </w:pPr>
      <w:r>
        <w:rPr>
          <w:rFonts w:hint="eastAsia" w:ascii="宋体" w:hAnsi="宋体" w:eastAsia="宋体" w:cs="宋体"/>
          <w:sz w:val="21"/>
          <w:szCs w:val="21"/>
        </w:rPr>
        <w:t>对于老旧住宅小区、城中村等受场地、建筑等条件限制难以按本规范的规定进行建设的电动自行车停放充电场所，可结合实际情况采取替代性的消防安全措施，其设计方案应经专题研究论证后确定。</w:t>
      </w:r>
    </w:p>
    <w:p>
      <w:pPr>
        <w:pStyle w:val="53"/>
        <w:numPr>
          <w:ilvl w:val="2"/>
          <w:numId w:val="1"/>
        </w:numPr>
        <w:wordWrap w:val="0"/>
        <w:autoSpaceDE/>
        <w:autoSpaceDN/>
        <w:snapToGrid/>
        <w:jc w:val="both"/>
      </w:pPr>
      <w:r>
        <w:rPr>
          <w:rFonts w:hint="eastAsia" w:ascii="宋体" w:hAnsi="宋体" w:eastAsia="宋体" w:cs="宋体"/>
          <w:sz w:val="21"/>
          <w:szCs w:val="21"/>
        </w:rPr>
        <w:t>电动自行车停放充电场所的设置和管理除应符合本规范的规定外，尚应符合国家和江苏省及行业现行有关法律法规和技术标准的规定。</w:t>
      </w:r>
    </w:p>
    <w:p>
      <w:pPr>
        <w:pStyle w:val="52"/>
        <w:numPr>
          <w:ilvl w:val="1"/>
          <w:numId w:val="1"/>
        </w:numPr>
        <w:wordWrap w:val="0"/>
        <w:autoSpaceDE/>
        <w:autoSpaceDN/>
        <w:snapToGrid w:val="0"/>
        <w:jc w:val="both"/>
        <w:outlineLvl w:val="1"/>
      </w:pPr>
      <w:bookmarkStart w:id="18" w:name="_Toc6d66719d-5399-4710-a2f2-84dc07940117"/>
      <w:r>
        <w:rPr>
          <w:rFonts w:hint="eastAsia" w:ascii="黑体" w:hAnsi="黑体" w:eastAsia="黑体" w:cs="黑体"/>
          <w:sz w:val="21"/>
          <w:szCs w:val="21"/>
        </w:rPr>
        <w:t>充（换）电柜</w:t>
      </w:r>
      <w:bookmarkEnd w:id="18"/>
    </w:p>
    <w:p>
      <w:pPr>
        <w:pStyle w:val="53"/>
        <w:numPr>
          <w:ilvl w:val="2"/>
          <w:numId w:val="1"/>
        </w:numPr>
        <w:wordWrap w:val="0"/>
        <w:autoSpaceDE/>
        <w:autoSpaceDN/>
        <w:snapToGrid/>
        <w:jc w:val="both"/>
      </w:pPr>
      <w:r>
        <w:rPr>
          <w:rFonts w:hint="eastAsia" w:ascii="宋体" w:hAnsi="宋体" w:eastAsia="宋体" w:cs="宋体"/>
          <w:sz w:val="21"/>
          <w:szCs w:val="21"/>
        </w:rPr>
        <w:t>除电动自行车充（换）电站、电动自行车停放充电场所外，其他建筑内严禁设置充（换）电柜。</w:t>
      </w:r>
    </w:p>
    <w:p>
      <w:pPr>
        <w:pStyle w:val="53"/>
        <w:numPr>
          <w:ilvl w:val="2"/>
          <w:numId w:val="1"/>
        </w:numPr>
        <w:wordWrap w:val="0"/>
        <w:autoSpaceDE/>
        <w:autoSpaceDN/>
        <w:snapToGrid/>
        <w:jc w:val="both"/>
      </w:pPr>
      <w:r>
        <w:rPr>
          <w:rFonts w:hint="eastAsia" w:ascii="宋体" w:hAnsi="宋体" w:eastAsia="宋体" w:cs="宋体"/>
          <w:sz w:val="21"/>
          <w:szCs w:val="21"/>
        </w:rPr>
        <w:t>电动自行车停放充电场所内部设置充（换）电柜时，应采用无门、窗、洞口的防火墙和耐火极限不低于1.50h的不燃性楼板进行完全分隔。</w:t>
      </w:r>
    </w:p>
    <w:p>
      <w:pPr>
        <w:pStyle w:val="53"/>
        <w:numPr>
          <w:ilvl w:val="2"/>
          <w:numId w:val="1"/>
        </w:numPr>
        <w:wordWrap w:val="0"/>
        <w:autoSpaceDE/>
        <w:autoSpaceDN/>
        <w:snapToGrid/>
        <w:jc w:val="both"/>
      </w:pPr>
      <w:r>
        <w:rPr>
          <w:rFonts w:hint="eastAsia" w:ascii="宋体" w:hAnsi="宋体" w:eastAsia="宋体" w:cs="宋体"/>
          <w:sz w:val="21"/>
          <w:szCs w:val="21"/>
        </w:rPr>
        <w:t>充（换）电柜应成组布置，每组充（换）电柜的总仓数不宜大于36个，单个充（换）电柜的仓数不宜大于12个；相邻充（换）电柜之间的间距不宜小于1m，组与组之间的间距不应小于6m。</w:t>
      </w:r>
    </w:p>
    <w:p>
      <w:pPr>
        <w:pStyle w:val="53"/>
        <w:numPr>
          <w:ilvl w:val="2"/>
          <w:numId w:val="1"/>
        </w:numPr>
        <w:wordWrap w:val="0"/>
        <w:autoSpaceDE/>
        <w:autoSpaceDN/>
        <w:snapToGrid/>
        <w:jc w:val="both"/>
      </w:pPr>
      <w:r>
        <w:rPr>
          <w:rFonts w:hint="eastAsia" w:ascii="宋体" w:hAnsi="宋体" w:eastAsia="宋体" w:cs="宋体"/>
          <w:sz w:val="21"/>
          <w:szCs w:val="21"/>
        </w:rPr>
        <w:t>充（换）电柜与民用建筑之间的防火间距不应小于6m；当毗邻的民用建筑外墙超出柜体外轮廓投影2m范围内为不开设门、窗、洞口且耐火极限不低于1.00h的不燃性实体墙时，防火间距可不限。</w:t>
      </w:r>
    </w:p>
    <w:p>
      <w:pPr>
        <w:pStyle w:val="53"/>
        <w:numPr>
          <w:ilvl w:val="2"/>
          <w:numId w:val="1"/>
        </w:numPr>
        <w:wordWrap w:val="0"/>
        <w:autoSpaceDE/>
        <w:autoSpaceDN/>
        <w:snapToGrid/>
        <w:jc w:val="both"/>
      </w:pPr>
      <w:r>
        <w:rPr>
          <w:rFonts w:hint="eastAsia" w:ascii="宋体" w:hAnsi="宋体" w:eastAsia="宋体" w:cs="宋体"/>
          <w:sz w:val="21"/>
          <w:szCs w:val="21"/>
        </w:rPr>
        <w:t>充（换）电柜与甲、乙类厂房、仓库的防火间距不应小于15m，与丙、丁、戊类厂房、仓库的防火间距不应小于6m；当毗邻的丙、丁、戊类厂房、仓库外墙超出柜体外轮廓投影2m范围内为不开设门、窗、洞口且耐火极限不低于1.00h的不燃性实体墙时，防火间距可不限。</w:t>
      </w:r>
    </w:p>
    <w:p>
      <w:pPr>
        <w:pStyle w:val="53"/>
        <w:numPr>
          <w:ilvl w:val="2"/>
          <w:numId w:val="1"/>
        </w:numPr>
        <w:wordWrap w:val="0"/>
        <w:autoSpaceDE/>
        <w:autoSpaceDN/>
        <w:snapToGrid/>
        <w:jc w:val="both"/>
      </w:pPr>
      <w:r>
        <w:rPr>
          <w:rFonts w:hint="eastAsia" w:ascii="宋体" w:hAnsi="宋体" w:eastAsia="宋体" w:cs="宋体"/>
          <w:sz w:val="21"/>
          <w:szCs w:val="21"/>
        </w:rPr>
        <w:t>充（换）电柜应采用钢质板材等不燃材料制作的封闭式柜体。</w:t>
      </w:r>
    </w:p>
    <w:p>
      <w:pPr>
        <w:pStyle w:val="53"/>
        <w:numPr>
          <w:ilvl w:val="2"/>
          <w:numId w:val="1"/>
        </w:numPr>
        <w:wordWrap w:val="0"/>
        <w:autoSpaceDE/>
        <w:autoSpaceDN/>
        <w:snapToGrid/>
        <w:jc w:val="both"/>
      </w:pPr>
      <w:r>
        <w:rPr>
          <w:rFonts w:hint="eastAsia" w:ascii="宋体" w:hAnsi="宋体" w:eastAsia="宋体" w:cs="宋体"/>
          <w:sz w:val="21"/>
          <w:szCs w:val="21"/>
        </w:rPr>
        <w:t>充（换）电柜应具备电气火灾监控功能，并对电流、电压、温度等进行实时监测和预警。</w:t>
      </w:r>
    </w:p>
    <w:p>
      <w:pPr>
        <w:pStyle w:val="53"/>
        <w:numPr>
          <w:ilvl w:val="2"/>
          <w:numId w:val="1"/>
        </w:numPr>
        <w:wordWrap w:val="0"/>
        <w:autoSpaceDE/>
        <w:autoSpaceDN/>
        <w:snapToGrid/>
        <w:jc w:val="both"/>
      </w:pPr>
      <w:r>
        <w:rPr>
          <w:rFonts w:hint="eastAsia" w:ascii="宋体" w:hAnsi="宋体" w:eastAsia="宋体" w:cs="宋体"/>
          <w:sz w:val="21"/>
          <w:szCs w:val="21"/>
        </w:rPr>
        <w:t>充（换）电柜应设置具有火灾自动探测、声光警报功能的火灾报警装置。</w:t>
      </w:r>
    </w:p>
    <w:p>
      <w:pPr>
        <w:pStyle w:val="53"/>
        <w:numPr>
          <w:ilvl w:val="2"/>
          <w:numId w:val="1"/>
        </w:numPr>
        <w:wordWrap w:val="0"/>
        <w:autoSpaceDE/>
        <w:autoSpaceDN/>
        <w:snapToGrid/>
        <w:jc w:val="both"/>
      </w:pPr>
      <w:r>
        <w:rPr>
          <w:rFonts w:hint="eastAsia" w:ascii="宋体" w:hAnsi="宋体" w:eastAsia="宋体" w:cs="宋体"/>
          <w:sz w:val="21"/>
          <w:szCs w:val="21"/>
        </w:rPr>
        <w:t>充（换）电柜应设置专用的灭火装置，灭火装置宜同时具备手动和自动喷放两种启动方式。</w:t>
      </w:r>
    </w:p>
    <w:p>
      <w:pPr>
        <w:pStyle w:val="53"/>
        <w:numPr>
          <w:ilvl w:val="2"/>
          <w:numId w:val="1"/>
        </w:numPr>
        <w:wordWrap w:val="0"/>
        <w:autoSpaceDE/>
        <w:autoSpaceDN/>
        <w:snapToGrid/>
        <w:jc w:val="both"/>
      </w:pPr>
      <w:r>
        <w:rPr>
          <w:rFonts w:hint="eastAsia" w:ascii="宋体" w:hAnsi="宋体" w:eastAsia="宋体" w:cs="宋体"/>
          <w:sz w:val="21"/>
          <w:szCs w:val="21"/>
        </w:rPr>
        <w:t>充（换）电柜的电池仓宜设置通风格栅或风扇。</w:t>
      </w:r>
    </w:p>
    <w:p>
      <w:pPr>
        <w:pStyle w:val="53"/>
        <w:numPr>
          <w:ilvl w:val="2"/>
          <w:numId w:val="1"/>
        </w:numPr>
        <w:wordWrap w:val="0"/>
        <w:autoSpaceDE/>
        <w:autoSpaceDN/>
        <w:snapToGrid/>
        <w:jc w:val="both"/>
      </w:pPr>
      <w:r>
        <w:rPr>
          <w:rFonts w:hint="eastAsia" w:ascii="宋体" w:hAnsi="宋体" w:eastAsia="宋体" w:cs="宋体"/>
          <w:sz w:val="21"/>
          <w:szCs w:val="21"/>
        </w:rPr>
        <w:t>充（换）电柜应具有可靠接地，且宜具备接地检测功能。</w:t>
      </w:r>
    </w:p>
    <w:p>
      <w:pPr>
        <w:pStyle w:val="53"/>
        <w:numPr>
          <w:ilvl w:val="2"/>
          <w:numId w:val="1"/>
        </w:numPr>
        <w:wordWrap w:val="0"/>
        <w:autoSpaceDE/>
        <w:autoSpaceDN/>
        <w:snapToGrid/>
        <w:jc w:val="both"/>
      </w:pPr>
      <w:r>
        <w:rPr>
          <w:rFonts w:hint="eastAsia" w:ascii="宋体" w:hAnsi="宋体" w:eastAsia="宋体" w:cs="宋体"/>
          <w:sz w:val="21"/>
          <w:szCs w:val="21"/>
        </w:rPr>
        <w:t>充（换）电柜应接入运营或管理单位的控制系统，实时上传充电负载、故障监测、火灾报警等信息，运营管理系统应具备远程干预控制功能。　</w:t>
      </w:r>
    </w:p>
    <w:p>
      <w:pPr>
        <w:pStyle w:val="52"/>
        <w:numPr>
          <w:ilvl w:val="1"/>
          <w:numId w:val="1"/>
        </w:numPr>
        <w:wordWrap w:val="0"/>
        <w:autoSpaceDE/>
        <w:autoSpaceDN/>
        <w:snapToGrid w:val="0"/>
        <w:jc w:val="both"/>
        <w:outlineLvl w:val="1"/>
      </w:pPr>
      <w:bookmarkStart w:id="19" w:name="_Toc0ad8a985-0832-41ff-a579-728a5d1d6e2f"/>
      <w:r>
        <w:rPr>
          <w:rFonts w:hint="eastAsia" w:ascii="黑体" w:hAnsi="黑体" w:eastAsia="黑体" w:cs="黑体"/>
          <w:sz w:val="21"/>
          <w:szCs w:val="21"/>
        </w:rPr>
        <w:t>电动自行车充（换）电站</w:t>
      </w:r>
      <w:bookmarkEnd w:id="19"/>
    </w:p>
    <w:p>
      <w:pPr>
        <w:pStyle w:val="53"/>
        <w:numPr>
          <w:ilvl w:val="2"/>
          <w:numId w:val="1"/>
        </w:numPr>
        <w:wordWrap w:val="0"/>
        <w:autoSpaceDE/>
        <w:autoSpaceDN/>
        <w:snapToGrid/>
        <w:jc w:val="both"/>
      </w:pPr>
      <w:r>
        <w:rPr>
          <w:rFonts w:hint="eastAsia" w:ascii="宋体" w:hAnsi="宋体" w:eastAsia="宋体" w:cs="宋体"/>
          <w:sz w:val="21"/>
          <w:szCs w:val="21"/>
        </w:rPr>
        <w:t>电动自行车充（换）电站严禁设置于地下或半地下。</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严禁与民用建筑、甲、乙类工业建筑合建，独立建造确有困难的，可与丙、丁、戊类工业建筑合建，但应设置在工业建筑首层，并采用无门、窗、洞口的防火墙和耐火极限不低于1.50h的不燃性楼板与其他部位分隔，合建的充（换）电站建筑面积不应大于300㎡。</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电动自行车充（换）电站耐火等级不应低于二级，且应满足现行国家标准《建筑设计防火规范》GB50016有关工业建筑耐火等级的相关规定。</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电动自行车充（换）电站与高层民用建筑、重要公共建筑的防火间距不应小于50m，与单、多层民用建筑的防火间距不应小于25m，与厂房、仓库的防火间距不应小于15m。</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电动自行车充（换）电站每个防火分区的建筑面积不应大于300m</w:t>
      </w:r>
      <w:r>
        <w:rPr>
          <w:rFonts w:hint="eastAsia" w:ascii="宋体" w:hAnsi="宋体" w:eastAsia="宋体" w:cs="宋体"/>
          <w:color w:val="B3B3B3"/>
          <w:sz w:val="21"/>
          <w:szCs w:val="21"/>
          <w:vertAlign w:val="superscript"/>
        </w:rPr>
        <w:t>2</w:t>
      </w:r>
      <w:r>
        <w:rPr>
          <w:rFonts w:hint="eastAsia" w:ascii="宋体" w:hAnsi="宋体" w:eastAsia="宋体" w:cs="宋体"/>
          <w:sz w:val="21"/>
          <w:szCs w:val="21"/>
        </w:rPr>
        <w:t>。</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电动自行车充（换）电站的承重构件及围护材料应采用不燃材料。</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电动自行车充（换）电站内任一点至最近安全出口的距离不应大于30m。建筑面积大于100m</w:t>
      </w:r>
      <w:r>
        <w:rPr>
          <w:rFonts w:hint="eastAsia" w:ascii="宋体" w:hAnsi="宋体" w:eastAsia="宋体" w:cs="宋体"/>
          <w:color w:val="B3B3B3"/>
          <w:sz w:val="21"/>
          <w:szCs w:val="21"/>
          <w:vertAlign w:val="superscript"/>
        </w:rPr>
        <w:t>2</w:t>
      </w:r>
      <w:r>
        <w:rPr>
          <w:rFonts w:hint="eastAsia" w:ascii="宋体" w:hAnsi="宋体" w:eastAsia="宋体" w:cs="宋体"/>
          <w:sz w:val="21"/>
          <w:szCs w:val="21"/>
        </w:rPr>
        <w:t>的电动自行车充（换）电站安全出口数量不应少于2个。</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电动自行车充（换）电站应通风良好，严禁明火作业。</w:t>
      </w:r>
    </w:p>
    <w:p>
      <w:pPr>
        <w:pStyle w:val="53"/>
        <w:numPr>
          <w:ilvl w:val="2"/>
          <w:numId w:val="1"/>
        </w:numPr>
        <w:wordWrap w:val="0"/>
        <w:autoSpaceDE/>
        <w:autoSpaceDN/>
        <w:snapToGrid/>
        <w:jc w:val="both"/>
      </w:pPr>
      <w:r>
        <w:rPr>
          <w:rFonts w:hint="eastAsia" w:ascii="宋体" w:hAnsi="宋体" w:eastAsia="宋体" w:cs="宋体"/>
          <w:sz w:val="21"/>
          <w:szCs w:val="21"/>
        </w:rPr>
        <w:t>建筑面积大于300m</w:t>
      </w:r>
      <w:r>
        <w:rPr>
          <w:rFonts w:hint="eastAsia" w:ascii="宋体" w:hAnsi="宋体" w:eastAsia="宋体" w:cs="宋体"/>
          <w:color w:val="B3B3B3"/>
          <w:sz w:val="21"/>
          <w:szCs w:val="21"/>
          <w:vertAlign w:val="superscript"/>
        </w:rPr>
        <w:t>2</w:t>
      </w:r>
      <w:r>
        <w:rPr>
          <w:rFonts w:hint="eastAsia" w:ascii="宋体" w:hAnsi="宋体" w:eastAsia="宋体" w:cs="宋体"/>
          <w:sz w:val="21"/>
          <w:szCs w:val="21"/>
        </w:rPr>
        <w:t>的电动自行车充（换）电站应设置室内消火栓系统，同层相邻的消火栓间距不应大于30m，应保证消火栓水枪的两股充实水柱能够到达保护范围内的任何部位。其他电动自行车充（换）电站宜设置消防软管卷盘或轻便水龙。</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电动自行车充（换）电站应设置火灾自动报警系统。</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电动自行车充（换）电站应配置可燃气体探测报警装置，可燃气体探测器应根据电池热失控可能产生的气体类型进行选型。</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电动自行车充（换）电站宜具备火灾早期预警功能，可通过监控系统、充电管理系统、可燃气体探测报警装置、火灾自动报警系统等进行火灾监控预警。</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电动自行车充（换）电站应设置自动灭火系统，可按严重危险I级设置自动喷水灭火系统；确有困难时可采用推车式压缩空气泡沫灭火装置等经试验验证有效的灭火设施。</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电动自行车充（换）电站应设置水桶、消防手套等应急处置装备，水桶容积应能确保单个电池被水完全浸没，且不应小于50L。</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电动自行车充（换）电站应设置排烟设施，宜采用自然排烟方式，可开启外窗面积不应小于地面面积5%。</w:t>
      </w:r>
    </w:p>
    <w:p>
      <w:pPr>
        <w:pStyle w:val="53"/>
        <w:numPr>
          <w:ilvl w:val="2"/>
          <w:numId w:val="1"/>
        </w:numPr>
        <w:wordWrap w:val="0"/>
        <w:autoSpaceDE/>
        <w:autoSpaceDN/>
        <w:snapToGrid/>
        <w:jc w:val="both"/>
      </w:pPr>
      <w:r>
        <w:rPr>
          <w:rFonts w:hint="eastAsia" w:ascii="宋体" w:hAnsi="宋体" w:eastAsia="宋体" w:cs="宋体"/>
          <w:sz w:val="21"/>
          <w:szCs w:val="21"/>
        </w:rPr>
        <w:t>电动自行车充（换）电站应设置消防应急照明及疏散指示标志。</w:t>
      </w:r>
    </w:p>
    <w:p>
      <w:pPr>
        <w:pStyle w:val="52"/>
        <w:numPr>
          <w:ilvl w:val="1"/>
          <w:numId w:val="1"/>
        </w:numPr>
        <w:wordWrap w:val="0"/>
        <w:autoSpaceDE/>
        <w:autoSpaceDN/>
        <w:snapToGrid w:val="0"/>
        <w:jc w:val="both"/>
        <w:outlineLvl w:val="1"/>
      </w:pPr>
      <w:bookmarkStart w:id="20" w:name="_Toc0cda6f65-9b68-4ce8-bc36-a75fa1e3e4dc"/>
      <w:r>
        <w:rPr>
          <w:rFonts w:hint="eastAsia" w:ascii="黑体" w:hAnsi="黑体" w:eastAsia="黑体" w:cs="黑体"/>
          <w:sz w:val="21"/>
          <w:szCs w:val="21"/>
        </w:rPr>
        <w:t>消防安全管理</w:t>
      </w:r>
      <w:bookmarkEnd w:id="20"/>
    </w:p>
    <w:p>
      <w:pPr>
        <w:pStyle w:val="52"/>
        <w:numPr>
          <w:ilvl w:val="2"/>
          <w:numId w:val="1"/>
        </w:numPr>
        <w:wordWrap w:val="0"/>
        <w:autoSpaceDE/>
        <w:autoSpaceDN/>
        <w:snapToGrid w:val="0"/>
        <w:jc w:val="both"/>
        <w:outlineLvl w:val="2"/>
      </w:pPr>
      <w:bookmarkStart w:id="21" w:name="_Tocc7b0c264-a662-4204-a53b-e6d0b6898448"/>
      <w:r>
        <w:rPr>
          <w:rFonts w:hint="eastAsia" w:ascii="黑体" w:hAnsi="黑体" w:eastAsia="黑体" w:cs="黑体"/>
          <w:sz w:val="21"/>
          <w:szCs w:val="21"/>
        </w:rPr>
        <w:t>一般规定</w:t>
      </w:r>
      <w:bookmarkEnd w:id="21"/>
    </w:p>
    <w:p>
      <w:pPr>
        <w:pStyle w:val="53"/>
        <w:numPr>
          <w:ilvl w:val="3"/>
          <w:numId w:val="1"/>
        </w:numPr>
        <w:wordWrap w:val="0"/>
        <w:autoSpaceDE/>
        <w:autoSpaceDN/>
        <w:snapToGrid/>
        <w:jc w:val="both"/>
      </w:pPr>
      <w:r>
        <w:rPr>
          <w:rFonts w:hint="eastAsia" w:ascii="宋体" w:hAnsi="宋体" w:eastAsia="宋体" w:cs="宋体"/>
          <w:sz w:val="21"/>
          <w:szCs w:val="21"/>
        </w:rPr>
        <w:t>电动自行车停放充电场所应实行消防安全挂牌管理，主动公开消防安全责任人、管理人、维护人以及相关联系方式，并及时更新。</w:t>
      </w:r>
    </w:p>
    <w:p>
      <w:pPr>
        <w:pStyle w:val="53"/>
        <w:numPr>
          <w:ilvl w:val="3"/>
          <w:numId w:val="1"/>
        </w:numPr>
        <w:wordWrap w:val="0"/>
        <w:autoSpaceDE/>
        <w:autoSpaceDN/>
        <w:snapToGrid/>
        <w:jc w:val="both"/>
      </w:pPr>
      <w:r>
        <w:rPr>
          <w:rFonts w:hint="eastAsia" w:ascii="宋体" w:hAnsi="宋体" w:eastAsia="宋体" w:cs="宋体"/>
          <w:sz w:val="21"/>
          <w:szCs w:val="21"/>
        </w:rPr>
        <w:t>村（居）民委员会、物业服务企业和运营管理单位应建立日常消防管理和防火巡查检查制度，明确专人负责，每天组织开展防火检查，加强夜间防火巡查。防火检查和巡查应如实填写检查和巡查记录，及时消除隐患。发现电动自行车违规停放、充电的，应当制止并组织清理；对拒不配合的，应当向当地消防救援机构、公安派出所或者乡镇（街道）消防工作站报告。</w:t>
      </w:r>
    </w:p>
    <w:p>
      <w:pPr>
        <w:pStyle w:val="53"/>
        <w:numPr>
          <w:ilvl w:val="3"/>
          <w:numId w:val="1"/>
        </w:numPr>
        <w:wordWrap w:val="0"/>
        <w:autoSpaceDE/>
        <w:autoSpaceDN/>
        <w:snapToGrid/>
        <w:jc w:val="both"/>
      </w:pPr>
      <w:r>
        <w:rPr>
          <w:rFonts w:hint="eastAsia" w:ascii="宋体" w:hAnsi="宋体" w:eastAsia="宋体" w:cs="宋体"/>
          <w:sz w:val="21"/>
          <w:szCs w:val="21"/>
        </w:rPr>
        <w:t>村（居）民委员会、物业服务企业和运营管理单位应加强防范常识宣传和典型火灾案例警示教育，引导群众增强消防安全意识，每半年至少开展1次电动自行车火灾防范的消防宣传教育工作。</w:t>
      </w:r>
    </w:p>
    <w:p>
      <w:pPr>
        <w:pStyle w:val="53"/>
        <w:numPr>
          <w:ilvl w:val="3"/>
          <w:numId w:val="1"/>
        </w:numPr>
        <w:wordWrap w:val="0"/>
        <w:autoSpaceDE/>
        <w:autoSpaceDN/>
        <w:snapToGrid/>
        <w:jc w:val="both"/>
      </w:pPr>
      <w:r>
        <w:rPr>
          <w:rFonts w:hint="eastAsia" w:ascii="宋体" w:hAnsi="宋体" w:eastAsia="宋体" w:cs="宋体"/>
          <w:sz w:val="21"/>
          <w:szCs w:val="21"/>
        </w:rPr>
        <w:t>电动自行车集中充电设施、充（换）电设施运营单位应当做好相关设施的日常安全维护工作，确保配电、充电、消防等设施完整；及时清理不能提供服务或者存在消防安全隐患的设施，保证相关设施处于正常运行状态。</w:t>
      </w:r>
    </w:p>
    <w:p>
      <w:pPr>
        <w:pStyle w:val="53"/>
        <w:numPr>
          <w:ilvl w:val="3"/>
          <w:numId w:val="1"/>
        </w:numPr>
        <w:wordWrap w:val="0"/>
        <w:autoSpaceDE/>
        <w:autoSpaceDN/>
        <w:snapToGrid/>
        <w:jc w:val="both"/>
      </w:pPr>
      <w:r>
        <w:rPr>
          <w:rFonts w:hint="eastAsia" w:ascii="宋体" w:hAnsi="宋体" w:eastAsia="宋体" w:cs="宋体"/>
          <w:sz w:val="21"/>
          <w:szCs w:val="21"/>
        </w:rPr>
        <w:t>电动自行车集中充电设施、充（换）电柜应每半年至少开展一次供配电系统、集中充电设施、充（换）电柜的电力检修，检修作业应由具有相关专业资质的人员实施。</w:t>
      </w:r>
    </w:p>
    <w:p>
      <w:pPr>
        <w:pStyle w:val="53"/>
        <w:numPr>
          <w:ilvl w:val="3"/>
          <w:numId w:val="1"/>
        </w:numPr>
        <w:wordWrap w:val="0"/>
        <w:autoSpaceDE/>
        <w:autoSpaceDN/>
        <w:snapToGrid/>
        <w:jc w:val="both"/>
      </w:pPr>
      <w:r>
        <w:rPr>
          <w:rFonts w:hint="eastAsia" w:ascii="宋体" w:hAnsi="宋体" w:eastAsia="宋体" w:cs="宋体"/>
          <w:sz w:val="21"/>
          <w:szCs w:val="21"/>
        </w:rPr>
        <w:t>电动自行车停放充电场所的管理人员应定期接受消防安全培训，内容包括但不限于建筑消防设施和器材使用、火灾报警、电池火灾应急处置方法等。</w:t>
      </w:r>
    </w:p>
    <w:p>
      <w:pPr>
        <w:pStyle w:val="52"/>
        <w:numPr>
          <w:ilvl w:val="2"/>
          <w:numId w:val="1"/>
        </w:numPr>
        <w:wordWrap w:val="0"/>
        <w:autoSpaceDE/>
        <w:autoSpaceDN/>
        <w:snapToGrid w:val="0"/>
        <w:jc w:val="both"/>
        <w:outlineLvl w:val="2"/>
      </w:pPr>
      <w:bookmarkStart w:id="22" w:name="_Toc6b2bdce9-5785-472d-b032-8e1b6da2747d"/>
      <w:r>
        <w:rPr>
          <w:rFonts w:hint="eastAsia" w:ascii="黑体" w:hAnsi="黑体" w:eastAsia="黑体" w:cs="黑体"/>
          <w:sz w:val="21"/>
          <w:szCs w:val="21"/>
        </w:rPr>
        <w:t>消防器材设施管理</w:t>
      </w:r>
      <w:bookmarkEnd w:id="22"/>
    </w:p>
    <w:p>
      <w:pPr>
        <w:pStyle w:val="53"/>
        <w:numPr>
          <w:ilvl w:val="3"/>
          <w:numId w:val="1"/>
        </w:numPr>
        <w:wordWrap w:val="0"/>
        <w:autoSpaceDE/>
        <w:autoSpaceDN/>
        <w:snapToGrid/>
        <w:jc w:val="both"/>
      </w:pPr>
      <w:r>
        <w:rPr>
          <w:rFonts w:hint="eastAsia" w:ascii="宋体" w:hAnsi="宋体" w:eastAsia="宋体" w:cs="宋体"/>
          <w:sz w:val="21"/>
          <w:szCs w:val="21"/>
        </w:rPr>
        <w:t>应定期对消防设施、器材组织检验、保养、维护和维修，确保完好有效。</w:t>
      </w:r>
    </w:p>
    <w:p>
      <w:pPr>
        <w:pStyle w:val="53"/>
        <w:numPr>
          <w:ilvl w:val="3"/>
          <w:numId w:val="1"/>
        </w:numPr>
        <w:wordWrap w:val="0"/>
        <w:autoSpaceDE/>
        <w:autoSpaceDN/>
        <w:snapToGrid/>
        <w:jc w:val="both"/>
      </w:pPr>
      <w:r>
        <w:rPr>
          <w:rFonts w:hint="eastAsia" w:ascii="宋体" w:hAnsi="宋体" w:eastAsia="宋体" w:cs="宋体"/>
          <w:sz w:val="21"/>
          <w:szCs w:val="21"/>
        </w:rPr>
        <w:t>消防设施和消防电源应始终处于正常运行状态。维修时，应报辖区消防救援机构备案，并采取加强值班值守等针对性防范措施。维修完成后，应立即恢复到正常运行状态。</w:t>
      </w:r>
    </w:p>
    <w:p>
      <w:pPr>
        <w:pStyle w:val="53"/>
        <w:numPr>
          <w:ilvl w:val="3"/>
          <w:numId w:val="1"/>
        </w:numPr>
        <w:wordWrap w:val="0"/>
        <w:autoSpaceDE/>
        <w:autoSpaceDN/>
        <w:snapToGrid/>
        <w:jc w:val="both"/>
      </w:pPr>
      <w:r>
        <w:rPr>
          <w:rFonts w:hint="eastAsia" w:ascii="宋体" w:hAnsi="宋体" w:eastAsia="宋体" w:cs="宋体"/>
          <w:sz w:val="21"/>
          <w:szCs w:val="21"/>
        </w:rPr>
        <w:t>不应遮挡、损坏、挪用或者擅自拆除、停用消防设施和器材，消防设施器材周边应有明显标识。</w:t>
      </w:r>
    </w:p>
    <w:p>
      <w:pPr>
        <w:pStyle w:val="53"/>
        <w:numPr>
          <w:ilvl w:val="3"/>
          <w:numId w:val="1"/>
        </w:numPr>
        <w:wordWrap w:val="0"/>
        <w:autoSpaceDE/>
        <w:autoSpaceDN/>
        <w:snapToGrid/>
        <w:jc w:val="both"/>
      </w:pPr>
      <w:r>
        <w:rPr>
          <w:rFonts w:hint="eastAsia" w:ascii="宋体" w:hAnsi="宋体" w:eastAsia="宋体" w:cs="宋体"/>
          <w:sz w:val="21"/>
          <w:szCs w:val="21"/>
        </w:rPr>
        <w:t>室内消火栓箱不应上锁，且与周边装修有明显区分，并张贴使用方法。室内消火栓箱内设备应齐全、完好。</w:t>
      </w:r>
    </w:p>
    <w:p>
      <w:pPr>
        <w:pStyle w:val="53"/>
        <w:numPr>
          <w:ilvl w:val="3"/>
          <w:numId w:val="1"/>
        </w:numPr>
        <w:wordWrap w:val="0"/>
        <w:autoSpaceDE/>
        <w:autoSpaceDN/>
        <w:snapToGrid/>
        <w:jc w:val="both"/>
      </w:pPr>
      <w:r>
        <w:rPr>
          <w:rFonts w:hint="eastAsia" w:ascii="宋体" w:hAnsi="宋体" w:eastAsia="宋体" w:cs="宋体"/>
          <w:sz w:val="21"/>
          <w:szCs w:val="21"/>
        </w:rPr>
        <w:t>灭火器应保持铭牌完整清晰，保险销和铅封完好，并放置在灭火器箱内，底部离地面高度不小于 15 m。灭火器的配置、维护、维修和报废应符合GB55036的规定。</w:t>
      </w:r>
    </w:p>
    <w:p>
      <w:pPr>
        <w:pStyle w:val="53"/>
        <w:numPr>
          <w:ilvl w:val="3"/>
          <w:numId w:val="1"/>
        </w:numPr>
        <w:wordWrap w:val="0"/>
        <w:autoSpaceDE/>
        <w:autoSpaceDN/>
        <w:snapToGrid/>
        <w:jc w:val="both"/>
      </w:pPr>
      <w:r>
        <w:rPr>
          <w:rFonts w:hint="eastAsia" w:ascii="宋体" w:hAnsi="宋体" w:eastAsia="宋体" w:cs="宋体"/>
          <w:sz w:val="21"/>
          <w:szCs w:val="21"/>
        </w:rPr>
        <w:t>使用电池供电的独立式感烟火灾探测报警器，应定期更换电池，确保设施有效。其报警信号应反馈至消防控制室或有人值守的值班室。</w:t>
      </w:r>
    </w:p>
    <w:p>
      <w:pPr>
        <w:pStyle w:val="53"/>
        <w:numPr>
          <w:ilvl w:val="3"/>
          <w:numId w:val="1"/>
        </w:numPr>
        <w:wordWrap w:val="0"/>
        <w:autoSpaceDE/>
        <w:autoSpaceDN/>
        <w:snapToGrid/>
        <w:jc w:val="both"/>
      </w:pPr>
      <w:r>
        <w:rPr>
          <w:rFonts w:hint="eastAsia" w:ascii="宋体" w:hAnsi="宋体" w:eastAsia="宋体" w:cs="宋体"/>
          <w:sz w:val="21"/>
          <w:szCs w:val="21"/>
        </w:rPr>
        <w:t>火灾自动报警系统、消火栓系统、自动喷水灭火系统等消防设施宜接入城市物联网消防远程监管系统。</w:t>
      </w:r>
    </w:p>
    <w:p>
      <w:pPr>
        <w:pStyle w:val="53"/>
        <w:numPr>
          <w:ilvl w:val="3"/>
          <w:numId w:val="1"/>
        </w:numPr>
        <w:wordWrap w:val="0"/>
        <w:autoSpaceDE/>
        <w:autoSpaceDN/>
        <w:snapToGrid/>
        <w:jc w:val="both"/>
      </w:pPr>
      <w:r>
        <w:rPr>
          <w:rFonts w:hint="eastAsia" w:ascii="宋体" w:hAnsi="宋体" w:eastAsia="宋体" w:cs="宋体"/>
          <w:sz w:val="21"/>
          <w:szCs w:val="21"/>
        </w:rPr>
        <w:t>消防系统的运行维护应由专业技术人员负责，与建筑消防设施统一管理，确保系统不间断正常运行。</w:t>
      </w:r>
    </w:p>
    <w:p>
      <w:pPr>
        <w:pStyle w:val="52"/>
        <w:numPr>
          <w:ilvl w:val="2"/>
          <w:numId w:val="1"/>
        </w:numPr>
        <w:wordWrap w:val="0"/>
        <w:autoSpaceDE/>
        <w:autoSpaceDN/>
        <w:snapToGrid w:val="0"/>
        <w:jc w:val="both"/>
        <w:outlineLvl w:val="2"/>
      </w:pPr>
      <w:bookmarkStart w:id="23" w:name="_Toc3d4c45f1-bfbe-4aff-831e-d139f1fe67f4"/>
      <w:r>
        <w:rPr>
          <w:rFonts w:hint="eastAsia" w:ascii="黑体" w:hAnsi="黑体" w:eastAsia="黑体" w:cs="黑体"/>
          <w:sz w:val="21"/>
          <w:szCs w:val="21"/>
        </w:rPr>
        <w:t>停放充电管理</w:t>
      </w:r>
      <w:bookmarkEnd w:id="23"/>
    </w:p>
    <w:p>
      <w:pPr>
        <w:pStyle w:val="53"/>
        <w:numPr>
          <w:ilvl w:val="3"/>
          <w:numId w:val="1"/>
        </w:numPr>
        <w:wordWrap w:val="0"/>
        <w:autoSpaceDE/>
        <w:autoSpaceDN/>
        <w:snapToGrid/>
        <w:jc w:val="both"/>
      </w:pPr>
      <w:r>
        <w:rPr>
          <w:rFonts w:hint="eastAsia" w:ascii="宋体" w:hAnsi="宋体" w:eastAsia="宋体" w:cs="宋体"/>
          <w:sz w:val="21"/>
          <w:szCs w:val="21"/>
        </w:rPr>
        <w:t>电动自行车停放充电场所充电区域与停放区域应保持不少于2.0m的防火间距或采用采用高度不低于1.5m、耐火极限不低于2.00h的防火隔墙进行分隔。</w:t>
      </w:r>
    </w:p>
    <w:p>
      <w:pPr>
        <w:pStyle w:val="53"/>
        <w:numPr>
          <w:ilvl w:val="3"/>
          <w:numId w:val="1"/>
        </w:numPr>
        <w:wordWrap w:val="0"/>
        <w:autoSpaceDE/>
        <w:autoSpaceDN/>
        <w:snapToGrid/>
        <w:jc w:val="both"/>
      </w:pPr>
      <w:r>
        <w:rPr>
          <w:rFonts w:hint="eastAsia" w:ascii="宋体" w:hAnsi="宋体" w:eastAsia="宋体" w:cs="宋体"/>
          <w:sz w:val="21"/>
          <w:szCs w:val="21"/>
        </w:rPr>
        <w:t>电动自行车停放充电场所配电箱、充电线路及充电插座等应安装在不燃烧材料上。</w:t>
      </w:r>
    </w:p>
    <w:p>
      <w:pPr>
        <w:pStyle w:val="53"/>
        <w:numPr>
          <w:ilvl w:val="3"/>
          <w:numId w:val="1"/>
        </w:numPr>
        <w:wordWrap w:val="0"/>
        <w:autoSpaceDE/>
        <w:autoSpaceDN/>
        <w:snapToGrid/>
        <w:jc w:val="both"/>
      </w:pPr>
      <w:r>
        <w:rPr>
          <w:rFonts w:hint="eastAsia" w:ascii="宋体" w:hAnsi="宋体" w:eastAsia="宋体" w:cs="宋体"/>
          <w:sz w:val="21"/>
          <w:szCs w:val="21"/>
        </w:rPr>
        <w:t>充电车位应分组设置，每组长度不应大于20.0m，充电车位不应超过20个，组与组之间应保持不少于2.0m的防火间距。确需连续布置时，组与组之间应采用高度不低于1.5m、耐火极限不低于2.00h的防火隔墙进行分隔。</w:t>
      </w:r>
    </w:p>
    <w:p>
      <w:pPr>
        <w:pStyle w:val="53"/>
        <w:numPr>
          <w:ilvl w:val="3"/>
          <w:numId w:val="1"/>
        </w:numPr>
        <w:wordWrap w:val="0"/>
        <w:autoSpaceDE/>
        <w:autoSpaceDN/>
        <w:snapToGrid/>
        <w:jc w:val="both"/>
      </w:pPr>
      <w:r>
        <w:rPr>
          <w:rFonts w:hint="eastAsia" w:ascii="宋体" w:hAnsi="宋体" w:eastAsia="宋体" w:cs="宋体"/>
          <w:sz w:val="21"/>
          <w:szCs w:val="21"/>
        </w:rPr>
        <w:t>每个充电车位均应设置明显的标识界线，每个充电车位宽度不小于0.8m，长度不小于2.0m。设置充电车位时，宜结合实际设置适当数量的三轮车和其他电动非机动车的充电车位。充电车位的净高不小于2.0m。</w:t>
      </w:r>
    </w:p>
    <w:p>
      <w:pPr>
        <w:pStyle w:val="53"/>
        <w:numPr>
          <w:ilvl w:val="3"/>
          <w:numId w:val="1"/>
        </w:numPr>
        <w:wordWrap w:val="0"/>
        <w:autoSpaceDE/>
        <w:autoSpaceDN/>
        <w:snapToGrid/>
        <w:jc w:val="both"/>
      </w:pPr>
      <w:r>
        <w:rPr>
          <w:rFonts w:hint="eastAsia" w:ascii="宋体" w:hAnsi="宋体" w:eastAsia="宋体" w:cs="宋体"/>
          <w:sz w:val="21"/>
          <w:szCs w:val="21"/>
        </w:rPr>
        <w:t>严格落实分区、分类管理：</w:t>
      </w:r>
    </w:p>
    <w:p>
      <w:pPr>
        <w:numPr>
          <w:ilvl w:val="0"/>
          <w:numId w:val="4"/>
        </w:numPr>
        <w:wordWrap w:val="0"/>
        <w:autoSpaceDE/>
        <w:autoSpaceDN/>
        <w:snapToGrid/>
        <w:ind w:left="840" w:leftChars="0" w:hanging="420"/>
        <w:jc w:val="both"/>
      </w:pPr>
      <w:r>
        <w:rPr>
          <w:rFonts w:hint="eastAsia" w:ascii="宋体" w:hAnsi="宋体" w:eastAsia="宋体" w:cs="宋体"/>
          <w:sz w:val="21"/>
          <w:szCs w:val="21"/>
        </w:rPr>
        <w:t>充电车位和停放车位应设置明显的界线标识并加强分区集中管理；</w:t>
      </w:r>
    </w:p>
    <w:p>
      <w:pPr>
        <w:numPr>
          <w:ilvl w:val="0"/>
          <w:numId w:val="4"/>
        </w:numPr>
        <w:wordWrap w:val="0"/>
        <w:autoSpaceDE/>
        <w:autoSpaceDN/>
        <w:snapToGrid/>
        <w:ind w:left="840" w:leftChars="0" w:hanging="420"/>
        <w:jc w:val="both"/>
      </w:pPr>
      <w:r>
        <w:rPr>
          <w:rFonts w:hint="eastAsia" w:ascii="宋体" w:hAnsi="宋体" w:eastAsia="宋体" w:cs="宋体"/>
          <w:sz w:val="21"/>
          <w:szCs w:val="21"/>
        </w:rPr>
        <w:t>两轮、三轮和其他类型车辆车位宜分类集中设置；</w:t>
      </w:r>
    </w:p>
    <w:p>
      <w:pPr>
        <w:numPr>
          <w:ilvl w:val="0"/>
          <w:numId w:val="4"/>
        </w:numPr>
        <w:wordWrap w:val="0"/>
        <w:autoSpaceDE/>
        <w:autoSpaceDN/>
        <w:snapToGrid/>
        <w:ind w:left="840" w:leftChars="0" w:hanging="420"/>
        <w:jc w:val="both"/>
      </w:pPr>
      <w:r>
        <w:rPr>
          <w:rFonts w:hint="eastAsia" w:ascii="宋体" w:hAnsi="宋体" w:eastAsia="宋体" w:cs="宋体"/>
          <w:sz w:val="21"/>
          <w:szCs w:val="21"/>
        </w:rPr>
        <w:t>锂电池充电车位和铅酸电池充电车位宜进行差别标识并加强分类管理。</w:t>
      </w:r>
    </w:p>
    <w:p>
      <w:pPr>
        <w:pStyle w:val="53"/>
        <w:numPr>
          <w:ilvl w:val="3"/>
          <w:numId w:val="1"/>
        </w:numPr>
        <w:wordWrap w:val="0"/>
        <w:autoSpaceDE/>
        <w:autoSpaceDN/>
        <w:snapToGrid/>
        <w:jc w:val="both"/>
      </w:pPr>
      <w:r>
        <w:rPr>
          <w:rFonts w:hint="eastAsia" w:ascii="宋体" w:hAnsi="宋体" w:eastAsia="宋体" w:cs="宋体"/>
          <w:sz w:val="21"/>
          <w:szCs w:val="21"/>
        </w:rPr>
        <w:t>车主应遵守分区、分类管理，依照标识将电动自行车停入对应的车位。</w:t>
      </w:r>
    </w:p>
    <w:p>
      <w:pPr>
        <w:pStyle w:val="53"/>
        <w:numPr>
          <w:ilvl w:val="3"/>
          <w:numId w:val="1"/>
        </w:numPr>
        <w:wordWrap w:val="0"/>
        <w:autoSpaceDE/>
        <w:autoSpaceDN/>
        <w:snapToGrid/>
        <w:jc w:val="both"/>
      </w:pPr>
      <w:r>
        <w:rPr>
          <w:rFonts w:hint="eastAsia" w:ascii="宋体" w:hAnsi="宋体" w:eastAsia="宋体" w:cs="宋体"/>
          <w:sz w:val="21"/>
          <w:szCs w:val="21"/>
        </w:rPr>
        <w:t>不应让未获得 3C 认证的或擅自改装的车辆进场充电。</w:t>
      </w:r>
    </w:p>
    <w:p>
      <w:pPr>
        <w:pStyle w:val="53"/>
        <w:numPr>
          <w:ilvl w:val="3"/>
          <w:numId w:val="1"/>
        </w:numPr>
        <w:wordWrap w:val="0"/>
        <w:autoSpaceDE/>
        <w:autoSpaceDN/>
        <w:snapToGrid/>
        <w:jc w:val="both"/>
      </w:pPr>
      <w:r>
        <w:rPr>
          <w:rFonts w:hint="eastAsia" w:ascii="宋体" w:hAnsi="宋体" w:eastAsia="宋体" w:cs="宋体"/>
          <w:sz w:val="21"/>
          <w:szCs w:val="21"/>
        </w:rPr>
        <w:t>除电动自行车充（换）电站外，其他场所严禁在室内采用货架、货柜等形式进行电动自行车电池的集中充电。</w:t>
      </w:r>
    </w:p>
    <w:p>
      <w:pPr>
        <w:pStyle w:val="53"/>
        <w:numPr>
          <w:ilvl w:val="3"/>
          <w:numId w:val="1"/>
        </w:numPr>
        <w:wordWrap w:val="0"/>
        <w:autoSpaceDE/>
        <w:autoSpaceDN/>
        <w:snapToGrid/>
        <w:jc w:val="both"/>
      </w:pPr>
      <w:r>
        <w:rPr>
          <w:rFonts w:hint="eastAsia" w:ascii="宋体" w:hAnsi="宋体" w:eastAsia="宋体" w:cs="宋体"/>
          <w:sz w:val="21"/>
          <w:szCs w:val="21"/>
        </w:rPr>
        <w:t>电动自行车集中停放充电、充（换）电柜处应设置显著的警示标识，提示电池充电的危险性，并标明设置必要的参数和操作说明。</w:t>
      </w:r>
    </w:p>
    <w:sectPr>
      <w:headerReference r:id="rId23" w:type="default"/>
      <w:footerReference r:id="rId24" w:type="default"/>
      <w:pgSz w:w="11906" w:h="16838"/>
      <w:pgMar w:top="1417" w:right="1134" w:bottom="1079" w:left="1417" w:header="850"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Ⅰ</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Ⅱ</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default" w:ascii="宋体" w:hAnsi="宋体" w:cs="宋体"/>
        <w:b w:val="0"/>
        <w:bCs/>
        <w:sz w:val="18"/>
        <w:szCs w:val="18"/>
        <w:lang w:val="en-US" w:eastAsia="zh-CN"/>
      </w:rPr>
      <w:t>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pPr>
    <w:r>
      <w:rPr>
        <w:rFonts w:hint="eastAsia" w:ascii="黑体" w:hAnsi="黑体" w:cs="黑体"/>
        <w:sz w:val="21"/>
        <w:szCs w:val="21"/>
        <w:lang w:val="en-US" w:eastAsia="zh-CN"/>
      </w:rPr>
      <w:t xml:space="preserve">DB3206/T </w:t>
    </w:r>
    <w:r>
      <w:rPr>
        <w:rFonts w:hint="default" w:ascii="黑体" w:hAnsi="黑体" w:cs="黑体"/>
        <w:sz w:val="21"/>
        <w:szCs w:val="21"/>
        <w:lang w:val="en-US" w:eastAsia="zh-CN"/>
      </w:rPr>
      <w:t>XXXX—2024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lowerLetter"/>
      <w:lvlText w:val="%1)"/>
      <w:lvlJc w:val="left"/>
      <w:pPr>
        <w:tabs>
          <w:tab w:val="left" w:pos="420"/>
        </w:tabs>
        <w:wordWrap w:val="0"/>
        <w:autoSpaceDE/>
        <w:autoSpaceDN/>
      </w:pPr>
      <w:rPr>
        <w:rFonts w:hint="default" w:ascii="宋体" w:hAnsi="宋体" w:eastAsia="宋体" w:cs="宋体"/>
        <w:snapToGrid w:val="0"/>
        <w:sz w:val="21"/>
        <w:szCs w:val="21"/>
      </w:rPr>
    </w:lvl>
  </w:abstractNum>
  <w:abstractNum w:abstractNumId="1">
    <w:nsid w:val="CF092B84"/>
    <w:multiLevelType w:val="singleLevel"/>
    <w:tmpl w:val="CF092B84"/>
    <w:lvl w:ilvl="0" w:tentative="0">
      <w:start w:val="1"/>
      <w:numFmt w:val="lowerLetter"/>
      <w:lvlText w:val="%1)"/>
      <w:lvlJc w:val="left"/>
      <w:pPr>
        <w:tabs>
          <w:tab w:val="left" w:pos="420"/>
        </w:tabs>
        <w:wordWrap w:val="0"/>
        <w:autoSpaceDE/>
        <w:autoSpaceDN/>
      </w:pPr>
      <w:rPr>
        <w:rFonts w:hint="default" w:ascii="宋体" w:hAnsi="宋体" w:eastAsia="宋体" w:cs="宋体"/>
        <w:snapToGrid w:val="0"/>
        <w:sz w:val="21"/>
        <w:szCs w:val="21"/>
      </w:rPr>
    </w:lvl>
  </w:abstractNum>
  <w:abstractNum w:abstractNumId="2">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lvl w:ilvl="3" w:tentative="0">
      <w:start w:val="1"/>
      <w:numFmt w:val="decimal"/>
      <w:suff w:val="space"/>
      <w:lvlText w:val="%1.%2.%3.%4 "/>
      <w:lvlJc w:val="left"/>
      <w:rPr>
        <w:rFonts w:hint="default" w:ascii="黑体" w:hAnsi="黑体" w:eastAsia="黑体" w:cs="黑体"/>
        <w:snapToGrid w:val="0"/>
        <w:sz w:val="21"/>
        <w:szCs w:val="21"/>
      </w:rPr>
    </w:lvl>
  </w:abstractNum>
  <w:abstractNum w:abstractNumId="3">
    <w:nsid w:val="59ADCABA"/>
    <w:multiLevelType w:val="singleLevel"/>
    <w:tmpl w:val="59ADCABA"/>
    <w:lvl w:ilvl="0" w:tentative="0">
      <w:start w:val="1"/>
      <w:numFmt w:val="lowerLetter"/>
      <w:lvlText w:val="%1)"/>
      <w:lvlJc w:val="left"/>
      <w:pPr>
        <w:tabs>
          <w:tab w:val="left" w:pos="420"/>
        </w:tabs>
        <w:wordWrap w:val="0"/>
        <w:autoSpaceDE/>
        <w:autoSpaceDN/>
      </w:pPr>
      <w:rPr>
        <w:rFonts w:hint="default" w:ascii="宋体" w:hAnsi="宋体" w:eastAsia="宋体" w:cs="宋体"/>
        <w:snapToGrid w:val="0"/>
        <w:sz w:val="21"/>
        <w:szCs w:val="21"/>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iZGI0ODgzNWIxZTZhOTNhMTAwNjRiNjUzOWY0ZDUifQ=="/>
  </w:docVars>
  <w:rsids>
    <w:rsidRoot w:val="00525FCA"/>
    <w:rsid w:val="000331AF"/>
    <w:rsid w:val="003B643A"/>
    <w:rsid w:val="00525FCA"/>
    <w:rsid w:val="007E6C16"/>
    <w:rsid w:val="008D1653"/>
    <w:rsid w:val="00991482"/>
    <w:rsid w:val="00AE35B7"/>
    <w:rsid w:val="00CC66AF"/>
    <w:rsid w:val="00CF1E78"/>
    <w:rsid w:val="00D16F00"/>
    <w:rsid w:val="00DC0B22"/>
    <w:rsid w:val="00E26651"/>
    <w:rsid w:val="00E33232"/>
    <w:rsid w:val="00F36E21"/>
    <w:rsid w:val="00FB47B8"/>
    <w:rsid w:val="01E54008"/>
    <w:rsid w:val="09671EA2"/>
    <w:rsid w:val="0B3F575F"/>
    <w:rsid w:val="0C3D42AE"/>
    <w:rsid w:val="0D405F42"/>
    <w:rsid w:val="0DC21CB9"/>
    <w:rsid w:val="131363AF"/>
    <w:rsid w:val="13C4457F"/>
    <w:rsid w:val="14CA5CFF"/>
    <w:rsid w:val="16EB42BE"/>
    <w:rsid w:val="1A8A22DC"/>
    <w:rsid w:val="1E4654EC"/>
    <w:rsid w:val="1E9F5EE9"/>
    <w:rsid w:val="2355694E"/>
    <w:rsid w:val="242A6A39"/>
    <w:rsid w:val="27D83146"/>
    <w:rsid w:val="28321134"/>
    <w:rsid w:val="285A344B"/>
    <w:rsid w:val="289A6582"/>
    <w:rsid w:val="2A125EC5"/>
    <w:rsid w:val="2AC073E7"/>
    <w:rsid w:val="2BF71372"/>
    <w:rsid w:val="2E7C0C48"/>
    <w:rsid w:val="2E871C59"/>
    <w:rsid w:val="2F8B290C"/>
    <w:rsid w:val="34A8074F"/>
    <w:rsid w:val="351F3D24"/>
    <w:rsid w:val="353F5AA9"/>
    <w:rsid w:val="358B263D"/>
    <w:rsid w:val="35CC45F8"/>
    <w:rsid w:val="36CD4475"/>
    <w:rsid w:val="40301595"/>
    <w:rsid w:val="42D504B3"/>
    <w:rsid w:val="4461674D"/>
    <w:rsid w:val="48476FE9"/>
    <w:rsid w:val="4EB90223"/>
    <w:rsid w:val="4FC155E1"/>
    <w:rsid w:val="50BE3DA5"/>
    <w:rsid w:val="544A4A25"/>
    <w:rsid w:val="545C3B2A"/>
    <w:rsid w:val="579B3999"/>
    <w:rsid w:val="5F30008D"/>
    <w:rsid w:val="662607E8"/>
    <w:rsid w:val="67BC55EF"/>
    <w:rsid w:val="69A949A2"/>
    <w:rsid w:val="6BFA00AB"/>
    <w:rsid w:val="6D2A511A"/>
    <w:rsid w:val="6E355EE3"/>
    <w:rsid w:val="7072709A"/>
    <w:rsid w:val="70A77558"/>
    <w:rsid w:val="72860731"/>
    <w:rsid w:val="74AF129E"/>
    <w:rsid w:val="767C7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pPr>
      <w:widowControl w:val="0"/>
      <w:wordWrap w:val="0"/>
      <w:autoSpaceDE/>
      <w:autoSpaceDN/>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wordWrap w:val="0"/>
      <w:autoSpaceDE/>
      <w:autoSpaceDN/>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wordWrap w:val="0"/>
      <w:autoSpaceDE/>
      <w:autoSpaceDN/>
      <w:spacing w:before="260" w:after="260" w:line="413" w:lineRule="auto"/>
      <w:outlineLvl w:val="1"/>
    </w:pPr>
    <w:rPr>
      <w:rFonts w:ascii="Arial" w:hAnsi="Arial" w:eastAsia="黑体"/>
      <w:b/>
      <w:sz w:val="32"/>
    </w:rPr>
  </w:style>
  <w:style w:type="character" w:default="1" w:styleId="18">
    <w:name w:val="Default Paragraph Font"/>
    <w:autoRedefine/>
    <w:semiHidden/>
    <w:unhideWhenUsed/>
    <w:qFormat/>
    <w:uiPriority w:val="1"/>
  </w:style>
  <w:style w:type="table" w:default="1" w:styleId="16">
    <w:name w:val="Normal Table"/>
    <w:autoRedefine/>
    <w:semiHidden/>
    <w:unhideWhenUsed/>
    <w:uiPriority w:val="99"/>
    <w:tblPr>
      <w:tblCellMar>
        <w:top w:w="0" w:type="dxa"/>
        <w:left w:w="108" w:type="dxa"/>
        <w:bottom w:w="0" w:type="dxa"/>
        <w:right w:w="108" w:type="dxa"/>
      </w:tblCellMar>
    </w:tblPr>
  </w:style>
  <w:style w:type="paragraph" w:styleId="4">
    <w:name w:val="caption"/>
    <w:basedOn w:val="1"/>
    <w:next w:val="1"/>
    <w:link w:val="22"/>
    <w:autoRedefine/>
    <w:semiHidden/>
    <w:unhideWhenUsed/>
    <w:qFormat/>
    <w:uiPriority w:val="35"/>
    <w:rPr>
      <w:rFonts w:ascii="Arial" w:hAnsi="Arial" w:eastAsia="黑体"/>
      <w:sz w:val="20"/>
    </w:rPr>
  </w:style>
  <w:style w:type="paragraph" w:styleId="5">
    <w:name w:val="annotation text"/>
    <w:basedOn w:val="1"/>
    <w:link w:val="28"/>
    <w:semiHidden/>
    <w:unhideWhenUsed/>
    <w:qFormat/>
    <w:uiPriority w:val="99"/>
    <w:pPr>
      <w:wordWrap w:val="0"/>
      <w:autoSpaceDE/>
      <w:autoSpaceDN/>
      <w:jc w:val="left"/>
    </w:pPr>
  </w:style>
  <w:style w:type="paragraph" w:styleId="6">
    <w:name w:val="toc 5"/>
    <w:semiHidden/>
    <w:uiPriority w:val="0"/>
    <w:pPr>
      <w:tabs>
        <w:tab w:val="right" w:leader="dot" w:pos="9241"/>
      </w:tabs>
      <w:wordWrap w:val="0"/>
      <w:autoSpaceDE/>
      <w:autoSpaceDN/>
      <w:ind w:firstLine="400" w:firstLineChars="400"/>
      <w:jc w:val="left"/>
    </w:pPr>
    <w:rPr>
      <w:rFonts w:ascii="宋体" w:hAnsi="宋体" w:eastAsia="宋体" w:cs="Times New Roman"/>
      <w:lang w:val="en-US" w:eastAsia="zh-CN" w:bidi="ar-SA"/>
    </w:rPr>
  </w:style>
  <w:style w:type="paragraph" w:styleId="7">
    <w:name w:val="toc 3"/>
    <w:semiHidden/>
    <w:uiPriority w:val="0"/>
    <w:pPr>
      <w:tabs>
        <w:tab w:val="right" w:leader="dot" w:pos="9241"/>
      </w:tabs>
      <w:wordWrap w:val="0"/>
      <w:autoSpaceDE/>
      <w:autoSpaceDN/>
      <w:ind w:firstLine="200" w:firstLineChars="200"/>
      <w:jc w:val="left"/>
    </w:pPr>
    <w:rPr>
      <w:rFonts w:ascii="宋体" w:hAnsi="宋体" w:eastAsia="宋体" w:cs="Times New Roman"/>
      <w:lang w:val="en-US" w:eastAsia="zh-CN" w:bidi="ar-SA"/>
    </w:rPr>
  </w:style>
  <w:style w:type="paragraph" w:styleId="8">
    <w:name w:val="Balloon Text"/>
    <w:basedOn w:val="1"/>
    <w:link w:val="30"/>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wordWrap w:val="0"/>
      <w:autoSpaceDE/>
      <w:autoSpaceDN/>
      <w:jc w:val="righ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wordWrap w:val="0"/>
      <w:autoSpaceDE/>
      <w:autoSpaceDN/>
      <w:snapToGrid w:val="0"/>
      <w:jc w:val="center"/>
    </w:pPr>
    <w:rPr>
      <w:sz w:val="18"/>
      <w:szCs w:val="18"/>
    </w:rPr>
  </w:style>
  <w:style w:type="paragraph" w:styleId="11">
    <w:name w:val="toc 1"/>
    <w:autoRedefine/>
    <w:semiHidden/>
    <w:qFormat/>
    <w:uiPriority w:val="0"/>
    <w:pPr>
      <w:tabs>
        <w:tab w:val="right" w:leader="dot" w:pos="9241"/>
      </w:tabs>
      <w:wordWrap w:val="0"/>
      <w:autoSpaceDE/>
      <w:autoSpaceDN/>
      <w:spacing w:before="25" w:beforeLines="25" w:after="25" w:afterLines="25"/>
    </w:pPr>
    <w:rPr>
      <w:rFonts w:ascii="宋体" w:hAnsi="宋体" w:eastAsia="宋体" w:cs="Times New Roman"/>
      <w:sz w:val="21"/>
      <w:szCs w:val="21"/>
      <w:lang w:val="en-US" w:eastAsia="zh-CN" w:bidi="ar-SA"/>
    </w:rPr>
  </w:style>
  <w:style w:type="paragraph" w:styleId="12">
    <w:name w:val="toc 4"/>
    <w:semiHidden/>
    <w:uiPriority w:val="0"/>
    <w:pPr>
      <w:tabs>
        <w:tab w:val="right" w:leader="dot" w:pos="9241"/>
      </w:tabs>
      <w:wordWrap w:val="0"/>
      <w:autoSpaceDE/>
      <w:autoSpaceDN/>
      <w:ind w:firstLine="300" w:firstLineChars="300"/>
      <w:jc w:val="left"/>
    </w:pPr>
    <w:rPr>
      <w:rFonts w:ascii="宋体" w:hAnsi="宋体" w:eastAsia="宋体" w:cs="Times New Roman"/>
      <w:lang w:val="en-US" w:eastAsia="zh-CN" w:bidi="ar-SA"/>
    </w:rPr>
  </w:style>
  <w:style w:type="paragraph" w:styleId="13">
    <w:name w:val="footnote text"/>
    <w:autoRedefine/>
    <w:qFormat/>
    <w:uiPriority w:val="0"/>
    <w:pPr>
      <w:snapToGrid w:val="0"/>
      <w:ind w:left="635" w:hanging="272"/>
      <w:jc w:val="left"/>
    </w:pPr>
    <w:rPr>
      <w:rFonts w:ascii="宋体" w:hAnsi="Times New Roman" w:eastAsia="宋体" w:cs="Times New Roman"/>
      <w:sz w:val="18"/>
      <w:szCs w:val="18"/>
      <w:lang w:val="en-US" w:eastAsia="zh-CN" w:bidi="ar-SA"/>
    </w:rPr>
  </w:style>
  <w:style w:type="paragraph" w:styleId="14">
    <w:name w:val="toc 2"/>
    <w:autoRedefine/>
    <w:semiHidden/>
    <w:qFormat/>
    <w:uiPriority w:val="0"/>
    <w:pPr>
      <w:tabs>
        <w:tab w:val="right" w:leader="dot" w:pos="9241"/>
      </w:tabs>
      <w:wordWrap w:val="0"/>
      <w:autoSpaceDE/>
      <w:autoSpaceDN/>
      <w:ind w:firstLine="102" w:firstLineChars="100"/>
    </w:pPr>
    <w:rPr>
      <w:rFonts w:ascii="宋体" w:hAnsi="宋体" w:eastAsia="宋体" w:cs="Times New Roman"/>
      <w:sz w:val="21"/>
      <w:szCs w:val="21"/>
      <w:lang w:val="en-US" w:eastAsia="zh-CN" w:bidi="ar-SA"/>
    </w:rPr>
  </w:style>
  <w:style w:type="paragraph" w:styleId="15">
    <w:name w:val="annotation subject"/>
    <w:basedOn w:val="5"/>
    <w:next w:val="5"/>
    <w:link w:val="29"/>
    <w:semiHidden/>
    <w:unhideWhenUsed/>
    <w:qFormat/>
    <w:uiPriority w:val="99"/>
    <w:rPr>
      <w:b/>
      <w:bCs/>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autoRedefine/>
    <w:qFormat/>
    <w:uiPriority w:val="99"/>
    <w:rPr>
      <w:color w:val="0000FF"/>
      <w:spacing w:val="0"/>
      <w:w w:val="100"/>
      <w:szCs w:val="21"/>
      <w:u w:val="single"/>
    </w:rPr>
  </w:style>
  <w:style w:type="character" w:styleId="20">
    <w:name w:val="annotation reference"/>
    <w:basedOn w:val="18"/>
    <w:autoRedefine/>
    <w:semiHidden/>
    <w:unhideWhenUsed/>
    <w:qFormat/>
    <w:uiPriority w:val="99"/>
    <w:rPr>
      <w:sz w:val="21"/>
      <w:szCs w:val="21"/>
    </w:rPr>
  </w:style>
  <w:style w:type="character" w:styleId="21">
    <w:name w:val="footnote reference"/>
    <w:basedOn w:val="22"/>
    <w:autoRedefine/>
    <w:semiHidden/>
    <w:unhideWhenUsed/>
    <w:qFormat/>
    <w:uiPriority w:val="99"/>
    <w:rPr>
      <w:vertAlign w:val="superscript"/>
    </w:rPr>
  </w:style>
  <w:style w:type="character" w:customStyle="1" w:styleId="22">
    <w:name w:val="脚注文本 字符"/>
    <w:basedOn w:val="18"/>
    <w:link w:val="4"/>
    <w:autoRedefine/>
    <w:semiHidden/>
    <w:qFormat/>
    <w:uiPriority w:val="99"/>
    <w:rPr>
      <w:sz w:val="18"/>
      <w:szCs w:val="18"/>
    </w:rPr>
  </w:style>
  <w:style w:type="character" w:customStyle="1" w:styleId="23">
    <w:name w:val="标题 1 Char"/>
    <w:basedOn w:val="18"/>
    <w:link w:val="2"/>
    <w:autoRedefine/>
    <w:qFormat/>
    <w:uiPriority w:val="0"/>
    <w:rPr>
      <w:b/>
      <w:kern w:val="44"/>
      <w:sz w:val="44"/>
      <w:szCs w:val="24"/>
    </w:rPr>
  </w:style>
  <w:style w:type="character" w:customStyle="1" w:styleId="24">
    <w:name w:val="标题 2 Char"/>
    <w:basedOn w:val="18"/>
    <w:link w:val="3"/>
    <w:autoRedefine/>
    <w:qFormat/>
    <w:uiPriority w:val="0"/>
    <w:rPr>
      <w:rFonts w:ascii="Arial" w:hAnsi="Arial" w:eastAsia="黑体"/>
      <w:b/>
      <w:sz w:val="32"/>
      <w:szCs w:val="24"/>
    </w:rPr>
  </w:style>
  <w:style w:type="character" w:customStyle="1" w:styleId="25">
    <w:name w:val="页眉 Char"/>
    <w:basedOn w:val="18"/>
    <w:link w:val="10"/>
    <w:autoRedefine/>
    <w:qFormat/>
    <w:uiPriority w:val="99"/>
    <w:rPr>
      <w:sz w:val="18"/>
      <w:szCs w:val="18"/>
    </w:rPr>
  </w:style>
  <w:style w:type="character" w:customStyle="1" w:styleId="26">
    <w:name w:val="页脚 Char"/>
    <w:basedOn w:val="18"/>
    <w:link w:val="9"/>
    <w:autoRedefine/>
    <w:qFormat/>
    <w:uiPriority w:val="99"/>
    <w:rPr>
      <w:sz w:val="18"/>
      <w:szCs w:val="18"/>
    </w:rPr>
  </w:style>
  <w:style w:type="paragraph" w:styleId="27">
    <w:name w:val="List Paragraph"/>
    <w:basedOn w:val="1"/>
    <w:autoRedefine/>
    <w:qFormat/>
    <w:uiPriority w:val="34"/>
    <w:pPr>
      <w:wordWrap w:val="0"/>
      <w:autoSpaceDE/>
      <w:autoSpaceDN/>
      <w:ind w:firstLine="420" w:firstLineChars="200"/>
    </w:pPr>
  </w:style>
  <w:style w:type="character" w:customStyle="1" w:styleId="28">
    <w:name w:val="批注文字 Char"/>
    <w:basedOn w:val="18"/>
    <w:link w:val="5"/>
    <w:autoRedefine/>
    <w:semiHidden/>
    <w:qFormat/>
    <w:uiPriority w:val="99"/>
    <w:rPr>
      <w:szCs w:val="24"/>
    </w:rPr>
  </w:style>
  <w:style w:type="character" w:customStyle="1" w:styleId="29">
    <w:name w:val="批注主题 Char"/>
    <w:basedOn w:val="28"/>
    <w:link w:val="15"/>
    <w:autoRedefine/>
    <w:semiHidden/>
    <w:qFormat/>
    <w:uiPriority w:val="99"/>
    <w:rPr>
      <w:b/>
      <w:bCs/>
      <w:szCs w:val="24"/>
    </w:rPr>
  </w:style>
  <w:style w:type="character" w:customStyle="1" w:styleId="30">
    <w:name w:val="批注框文本 Char"/>
    <w:basedOn w:val="18"/>
    <w:link w:val="8"/>
    <w:autoRedefine/>
    <w:semiHidden/>
    <w:qFormat/>
    <w:uiPriority w:val="99"/>
    <w:rPr>
      <w:sz w:val="18"/>
      <w:szCs w:val="18"/>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paragraph" w:customStyle="1" w:styleId="32">
    <w:name w:val="WPSOffice手动目录 2"/>
    <w:autoRedefine/>
    <w:qFormat/>
    <w:uiPriority w:val="0"/>
    <w:pPr>
      <w:wordWrap w:val="0"/>
      <w:autoSpaceDE/>
      <w:autoSpaceDN/>
      <w:ind w:left="200" w:leftChars="200"/>
    </w:pPr>
    <w:rPr>
      <w:rFonts w:asciiTheme="minorHAnsi" w:hAnsiTheme="minorHAnsi" w:eastAsiaTheme="minorEastAsia" w:cstheme="minorBidi"/>
      <w:lang w:val="en-US" w:eastAsia="zh-CN" w:bidi="ar-SA"/>
    </w:rPr>
  </w:style>
  <w:style w:type="paragraph" w:customStyle="1" w:styleId="33">
    <w:name w:val="正文标题"/>
    <w:autoRedefine/>
    <w:qFormat/>
    <w:uiPriority w:val="0"/>
    <w:pPr>
      <w:keepNext/>
      <w:pageBreakBefore/>
      <w:wordWrap w:val="0"/>
      <w:autoSpaceDE/>
      <w:autoSpaceDN/>
      <w:spacing w:before="360" w:after="440" w:line="360" w:lineRule="auto"/>
      <w:jc w:val="center"/>
    </w:pPr>
    <w:rPr>
      <w:rFonts w:ascii="黑体" w:hAnsi="黑体" w:eastAsia="黑体" w:cstheme="minorBidi"/>
      <w:color w:val="000000"/>
      <w:szCs w:val="22"/>
      <w:lang w:val="en-US" w:eastAsia="en-US" w:bidi="ar-SA"/>
    </w:rPr>
  </w:style>
  <w:style w:type="paragraph" w:customStyle="1" w:styleId="34">
    <w:name w:val="目次标题"/>
    <w:autoRedefine/>
    <w:qFormat/>
    <w:uiPriority w:val="0"/>
    <w:pPr>
      <w:keepNext/>
      <w:pageBreakBefore/>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5">
    <w:name w:val="目次标题级"/>
    <w:next w:val="2"/>
    <w:autoRedefine/>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6">
    <w:name w:val="目次第1级"/>
    <w:next w:val="2"/>
    <w:autoRedefine/>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37">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38">
    <w:name w:val="目次第3级"/>
    <w:autoRedefine/>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39">
    <w:name w:val="目次第4级"/>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0">
    <w:name w:val="目次第5级"/>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1">
    <w:name w:val="目次第6级"/>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2">
    <w:name w:val="目次第7级"/>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3">
    <w:name w:val="目次第8级"/>
    <w:autoRedefine/>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4">
    <w:name w:val="目次、索引正文"/>
    <w:qFormat/>
    <w:uiPriority w:val="0"/>
    <w:pPr>
      <w:spacing w:line="320" w:lineRule="exact"/>
      <w:jc w:val="both"/>
    </w:pPr>
    <w:rPr>
      <w:rFonts w:ascii="宋体" w:hAnsi="宋体" w:eastAsia="宋体" w:cs="宋体"/>
      <w:sz w:val="21"/>
      <w:lang w:val="en-US" w:eastAsia="zh-CN" w:bidi="ar-SA"/>
    </w:rPr>
  </w:style>
  <w:style w:type="character" w:customStyle="1" w:styleId="45">
    <w:name w:val="Book Title"/>
    <w:basedOn w:val="18"/>
    <w:qFormat/>
    <w:uiPriority w:val="33"/>
    <w:rPr>
      <w:b/>
      <w:bCs/>
      <w:smallCaps/>
      <w:spacing w:val="5"/>
    </w:rPr>
  </w:style>
  <w:style w:type="paragraph" w:customStyle="1" w:styleId="46">
    <w:name w:val="文档名称标题"/>
    <w:uiPriority w:val="0"/>
    <w:pPr>
      <w:wordWrap w:val="0"/>
      <w:autoSpaceDE/>
      <w:autoSpaceDN/>
      <w:spacing w:before="640" w:after="560" w:line="460" w:lineRule="exact"/>
      <w:jc w:val="center"/>
    </w:pPr>
    <w:rPr>
      <w:rFonts w:ascii="黑体" w:hAnsi="Times New Roman" w:eastAsia="黑体" w:cs="Times New Roman"/>
      <w:sz w:val="32"/>
      <w:szCs w:val="32"/>
      <w:lang w:val="en-US" w:eastAsia="zh-CN" w:bidi="ar-SA"/>
    </w:rPr>
  </w:style>
  <w:style w:type="paragraph" w:customStyle="1" w:styleId="47">
    <w:name w:val="章节页面标题"/>
    <w:uiPriority w:val="0"/>
    <w:pPr>
      <w:wordWrap w:val="0"/>
      <w:autoSpaceDE/>
      <w:autoSpaceDN/>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48">
    <w:name w:val="附录页面标题"/>
    <w:uiPriority w:val="0"/>
    <w:pPr>
      <w:wordWrap w:val="0"/>
      <w:autoSpaceDE/>
      <w:autoSpaceDN/>
      <w:spacing w:before="640" w:after="280"/>
      <w:contextualSpacing/>
      <w:jc w:val="center"/>
    </w:pPr>
    <w:rPr>
      <w:rFonts w:ascii="黑体" w:hAnsi="黑体" w:eastAsia="黑体" w:cs="黑体"/>
      <w:sz w:val="21"/>
      <w:szCs w:val="21"/>
      <w:lang w:val="en-US" w:eastAsia="zh-CN" w:bidi="ar-SA"/>
    </w:rPr>
  </w:style>
  <w:style w:type="paragraph" w:customStyle="1" w:styleId="49">
    <w:name w:val="其他页面标题"/>
    <w:qFormat/>
    <w:uiPriority w:val="0"/>
    <w:pPr>
      <w:wordWrap w:val="0"/>
      <w:autoSpaceDE/>
      <w:autoSpaceDN/>
      <w:spacing w:before="640" w:after="200"/>
      <w:jc w:val="center"/>
      <w:outlineLvl w:val="0"/>
    </w:pPr>
    <w:rPr>
      <w:rFonts w:ascii="黑体" w:hAnsi="Times New Roman" w:eastAsia="黑体" w:cs="Times New Roman"/>
      <w:sz w:val="21"/>
      <w:szCs w:val="21"/>
      <w:lang w:val="en-US" w:eastAsia="zh-CN" w:bidi="ar-SA"/>
    </w:rPr>
  </w:style>
  <w:style w:type="paragraph" w:customStyle="1" w:styleId="50">
    <w:name w:val="段落"/>
    <w:uiPriority w:val="0"/>
    <w:pPr>
      <w:autoSpaceDE w:val="0"/>
      <w:autoSpaceDN w:val="0"/>
      <w:snapToGrid/>
      <w:spacing w:line="240" w:lineRule="auto"/>
      <w:ind w:firstLine="420" w:firstLineChars="200"/>
      <w:jc w:val="left"/>
    </w:pPr>
    <w:rPr>
      <w:rFonts w:ascii="宋体" w:hAnsi="Times New Roman" w:eastAsia="宋体" w:cs="Times New Roman"/>
      <w:sz w:val="21"/>
      <w:lang w:val="en-US" w:eastAsia="zh-CN" w:bidi="ar-SA"/>
    </w:rPr>
  </w:style>
  <w:style w:type="paragraph" w:customStyle="1" w:styleId="51">
    <w:name w:val="章标题"/>
    <w:qFormat/>
    <w:uiPriority w:val="0"/>
    <w:pPr>
      <w:wordWrap w:val="0"/>
      <w:autoSpaceDE/>
      <w:autoSpaceDN/>
      <w:spacing w:before="312" w:beforeLines="100" w:after="312" w:afterLines="100"/>
      <w:jc w:val="both"/>
    </w:pPr>
    <w:rPr>
      <w:rFonts w:ascii="黑体" w:hAnsi="黑体" w:eastAsia="黑体" w:cs="Times New Roman"/>
      <w:sz w:val="21"/>
      <w:lang w:val="en-US" w:eastAsia="zh-CN" w:bidi="ar-SA"/>
    </w:rPr>
  </w:style>
  <w:style w:type="paragraph" w:customStyle="1" w:styleId="52">
    <w:name w:val="章条题-有条题"/>
    <w:uiPriority w:val="0"/>
    <w:pPr>
      <w:wordWrap w:val="0"/>
      <w:autoSpaceDE/>
      <w:autoSpaceDN/>
      <w:spacing w:before="50" w:beforeLines="50" w:after="50" w:afterLines="50"/>
      <w:jc w:val="both"/>
    </w:pPr>
    <w:rPr>
      <w:rFonts w:ascii="黑体" w:hAnsi="黑体" w:eastAsia="黑体" w:cs="Times New Roman"/>
      <w:sz w:val="21"/>
      <w:lang w:val="en-US" w:eastAsia="zh-CN" w:bidi="ar-SA"/>
    </w:rPr>
  </w:style>
  <w:style w:type="paragraph" w:customStyle="1" w:styleId="53">
    <w:name w:val="章标题-无条题"/>
    <w:uiPriority w:val="0"/>
    <w:pPr>
      <w:wordWrap w:val="0"/>
      <w:autoSpaceDE/>
      <w:autoSpaceDN/>
      <w:spacing w:before="0" w:beforeLines="0" w:after="0" w:afterLines="0"/>
      <w:ind w:left="0" w:firstLine="0"/>
    </w:pPr>
    <w:rPr>
      <w:rFonts w:ascii="宋体" w:hAnsi="宋体" w:eastAsia="宋体" w:cs="Times New Roman"/>
      <w:lang w:val="en-US" w:eastAsia="zh-CN" w:bidi="ar-SA"/>
    </w:rPr>
  </w:style>
  <w:style w:type="paragraph" w:customStyle="1" w:styleId="54">
    <w:name w:val="附录章标题-有条题"/>
    <w:uiPriority w:val="0"/>
    <w:pPr>
      <w:wordWrap w:val="0"/>
      <w:autoSpaceDE/>
      <w:autoSpaceDN/>
      <w:spacing w:before="50" w:beforeLines="50" w:after="50" w:afterLines="50"/>
      <w:ind w:left="0" w:firstLine="0"/>
    </w:pPr>
    <w:rPr>
      <w:rFonts w:ascii="宋体" w:hAnsi="宋体" w:eastAsia="宋体" w:cs="Times New Roman"/>
      <w:lang w:val="en-US" w:eastAsia="zh-CN" w:bidi="ar-SA"/>
    </w:rPr>
  </w:style>
  <w:style w:type="paragraph" w:customStyle="1" w:styleId="55">
    <w:name w:val="表标题"/>
    <w:uiPriority w:val="0"/>
    <w:pPr>
      <w:wordWrap w:val="0"/>
      <w:autoSpaceDE/>
      <w:autoSpaceDN/>
      <w:spacing w:before="50" w:beforeLines="50" w:after="50" w:afterLines="50"/>
      <w:jc w:val="center"/>
    </w:pPr>
    <w:rPr>
      <w:rFonts w:ascii="黑体" w:hAnsi="黑体" w:eastAsia="黑体" w:cs="Times New Roman"/>
      <w:sz w:val="21"/>
      <w:lang w:val="en-US" w:eastAsia="zh-CN" w:bidi="ar-SA"/>
    </w:rPr>
  </w:style>
  <w:style w:type="paragraph" w:customStyle="1" w:styleId="56">
    <w:name w:val="图标题"/>
    <w:uiPriority w:val="0"/>
    <w:pPr>
      <w:wordWrap w:val="0"/>
      <w:autoSpaceDE/>
      <w:autoSpaceDN/>
      <w:spacing w:before="50" w:beforeLines="50" w:after="50" w:afterLines="50"/>
      <w:jc w:val="center"/>
    </w:pPr>
    <w:rPr>
      <w:rFonts w:ascii="黑体" w:hAnsi="黑体" w:eastAsia="黑体" w:cs="Times New Roman"/>
      <w:sz w:val="21"/>
      <w:lang w:val="en-US" w:eastAsia="zh-CN" w:bidi="ar-SA"/>
    </w:rPr>
  </w:style>
  <w:style w:type="paragraph" w:customStyle="1" w:styleId="57">
    <w:name w:val="图脚注"/>
    <w:link w:val="26"/>
    <w:autoRedefine/>
    <w:unhideWhenUsed/>
    <w:qFormat/>
    <w:uiPriority w:val="99"/>
    <w:pPr>
      <w:wordWrap w:val="0"/>
      <w:autoSpaceDE/>
      <w:autoSpaceDN/>
      <w:ind w:left="765" w:leftChars="300" w:hanging="135" w:hangingChars="75"/>
      <w:jc w:val="left"/>
    </w:pPr>
    <w:rPr>
      <w:rFonts w:hint="eastAsia" w:ascii="宋体" w:hAnsi="宋体" w:eastAsia="宋体" w:cs="宋体"/>
      <w:sz w:val="18"/>
      <w:szCs w:val="18"/>
      <w:lang w:val="en-US" w:eastAsia="zh-CN" w:bidi="ar-SA"/>
    </w:rPr>
  </w:style>
  <w:style w:type="paragraph" w:customStyle="1" w:styleId="58">
    <w:name w:val="公式居中"/>
    <w:next w:val="2"/>
    <w:autoRedefine/>
    <w:qFormat/>
    <w:uiPriority w:val="0"/>
    <w:pPr>
      <w:keepNext w:val="0"/>
      <w:tabs>
        <w:tab w:val="center" w:pos="4620"/>
        <w:tab w:val="right" w:pos="6510"/>
        <w:tab w:val="right" w:leader="middleDot" w:pos="9240"/>
      </w:tabs>
      <w:wordWrap w:val="0"/>
      <w:autoSpaceDE/>
      <w:autoSpaceDN/>
      <w:adjustRightInd/>
      <w:snapToGrid w:val="0"/>
      <w:spacing w:line="240" w:lineRule="auto"/>
      <w:jc w:val="center"/>
      <w:textAlignment w:val="center"/>
    </w:pPr>
    <w:rPr>
      <w:rFonts w:ascii="Times New Roman" w:hAnsi="Times New Roman" w:eastAsia="宋体" w:cs="Times New Roman"/>
      <w:kern w:val="2"/>
      <w:lang w:val="en-US" w:eastAsia="zh-CN" w:bidi="ar-SA"/>
    </w:rPr>
  </w:style>
  <w:style w:type="paragraph" w:customStyle="1" w:styleId="59">
    <w:name w:val="终结线"/>
    <w:qFormat/>
    <w:uiPriority w:val="0"/>
    <w:pPr>
      <w:tabs>
        <w:tab w:val="center" w:pos="4620"/>
        <w:tab w:val="right" w:pos="6510"/>
        <w:tab w:val="right" w:leader="middleDot" w:pos="9240"/>
      </w:tabs>
      <w:wordWrap w:val="0"/>
      <w:autoSpaceDE/>
      <w:autoSpaceDN/>
      <w:adjustRightInd/>
      <w:spacing w:line="240" w:lineRule="auto"/>
      <w:jc w:val="center"/>
      <w:textAlignment w:val="center"/>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2021-11-06T13:46:00Z</dcterms:created>
  <dc:creator>sam</dc:creator>
  <cp:lastModifiedBy>朱德海</cp:lastModifiedBy>
  <dcterms:modified xsi:type="dcterms:W3CDTF">2024-02-23T08:52:17Z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25469AB7735045928A8564A1A103F676_13</vt:lpwstr>
  </property>
</Properties>
</file>