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关于推进基本养老服务体系建设的实施意见</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积极应对人口老龄化，扎实推进基本养老服务体系建设，切实提高基本养老服务</w:t>
      </w:r>
      <w:r>
        <w:rPr>
          <w:rFonts w:hint="default" w:ascii="Times New Roman" w:hAnsi="Times New Roman" w:eastAsia="方正仿宋_GBK" w:cs="Times New Roman"/>
          <w:sz w:val="32"/>
          <w:szCs w:val="32"/>
          <w:lang w:val="en-US" w:eastAsia="zh-CN"/>
        </w:rPr>
        <w:t>均等化水平</w:t>
      </w:r>
      <w:r>
        <w:rPr>
          <w:rFonts w:hint="eastAsia" w:ascii="Times New Roman" w:hAnsi="Times New Roman" w:eastAsia="方正仿宋_GBK" w:cs="Times New Roman"/>
          <w:sz w:val="32"/>
          <w:szCs w:val="32"/>
          <w:lang w:val="en-US" w:eastAsia="zh-CN"/>
        </w:rPr>
        <w:t>，更好保障老有所养，根据</w:t>
      </w:r>
      <w:r>
        <w:rPr>
          <w:rFonts w:hint="default" w:ascii="Times New Roman" w:hAnsi="Times New Roman" w:eastAsia="方正仿宋_GBK" w:cs="Times New Roman"/>
          <w:sz w:val="32"/>
          <w:szCs w:val="32"/>
          <w:lang w:val="en-US" w:eastAsia="zh-CN"/>
        </w:rPr>
        <w:t>《中共中央办公厅国务院办公厅关于推进基本养老服务体系建设的意见》（中办发〔2022〕42号）和《省委办公厅省政府办公厅关于推进基本养老服务体系建设的若干措施》（苏办发〔2022〕62号）精神，结合我市实际，制定本实施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一、总体要求</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（一）指导思想。</w:t>
      </w:r>
      <w:r>
        <w:rPr>
          <w:rFonts w:hint="eastAsia" w:ascii="Times New Roman" w:hAnsi="Times New Roman" w:eastAsia="方正仿宋_GBK" w:cs="Times New Roman"/>
          <w:sz w:val="32"/>
          <w:szCs w:val="32"/>
          <w:lang w:val="en-US" w:eastAsia="zh-CN"/>
        </w:rPr>
        <w:t>以习近平新时代中国特色社会主义思想为指导，深入学习贯彻党的二十大精神，立足新发展阶段，完整、准确、全面贯彻新发展理念，服务构建新发展格局，坚持党对基本养老服务体系建设的全面领导，坚持以人民为中心，坚持以改革创新为根本动力，着眼于兜底线、保基本、促普惠、广覆盖、可持续，健全完善覆盖全体老年人、权责清晰、保障适度、可持续的基本养老服务体系，不断增强通城老年人的获得感、幸福感、安全感。</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（二）工作目标。</w:t>
      </w:r>
      <w:r>
        <w:rPr>
          <w:rFonts w:hint="eastAsia" w:ascii="Times New Roman" w:hAnsi="Times New Roman" w:eastAsia="方正仿宋_GBK" w:cs="Times New Roman"/>
          <w:sz w:val="32"/>
          <w:szCs w:val="32"/>
          <w:lang w:val="en-US" w:eastAsia="zh-CN"/>
        </w:rPr>
        <w:t>重点聚焦老年人面临家庭和个人难以应对的失能、残疾、无人照顾等困难，</w:t>
      </w:r>
      <w:r>
        <w:rPr>
          <w:rFonts w:hint="eastAsia" w:ascii="Times New Roman" w:hAnsi="Times New Roman" w:eastAsia="方正仿宋_GBK" w:cs="Times New Roman"/>
          <w:sz w:val="32"/>
          <w:szCs w:val="32"/>
          <w:highlight w:val="none"/>
          <w:lang w:val="en-US" w:eastAsia="zh-CN"/>
        </w:rPr>
        <w:t>由政府直接提供或通过一定方式支持相关主体向老年人提供物质帮助、照护服务、关爱服务等基础性、普惠性、兜底性服务。</w:t>
      </w:r>
      <w:r>
        <w:rPr>
          <w:rFonts w:hint="eastAsia" w:ascii="Times New Roman" w:hAnsi="Times New Roman" w:eastAsia="方正仿宋_GBK" w:cs="Times New Roman"/>
          <w:sz w:val="32"/>
          <w:szCs w:val="32"/>
          <w:lang w:val="en-US" w:eastAsia="zh-CN"/>
        </w:rPr>
        <w:t>到2025年，与南通经济社会发展相适应的基本养老服务制度体系基本健全，基本养老服务清单持续完善，服务对象、服务内容、服务标准等清晰明确，服务供给、服务保障、服务监管等机制不断健全，基本养老服务体系覆盖全体老年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二、工作任务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（一）健全基本养老服务制度</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1.健全基本养老服务目录清单。</w:t>
      </w:r>
      <w:r>
        <w:rPr>
          <w:rFonts w:hint="eastAsia" w:ascii="Times New Roman" w:hAnsi="Times New Roman" w:eastAsia="方正仿宋_GBK" w:cs="Times New Roman"/>
          <w:sz w:val="32"/>
          <w:szCs w:val="32"/>
          <w:lang w:val="en-US" w:eastAsia="zh-CN"/>
        </w:rPr>
        <w:t>对照国家和省基本养老服务清单，立足市情实际，制定发布南通市基本养老服务指导性目录清单，明确基本养老服务的对象、项目、内容、标准及牵头责任部门等。坚持尽力而为、量力而行，根据我市经济社会发展水平、财力状况等因素，对清单实行动态调整，由市民政局会同相关部门适时提出修订意见，按程序报批后印发实施。各县（市、区）结合当地实际，按要求制定并发布本地基本养老服务目录清单，及时向社会公布，方便市民查询。</w:t>
      </w:r>
      <w:r>
        <w:rPr>
          <w:rFonts w:hint="eastAsia" w:ascii="方正楷体_GBK" w:hAnsi="方正楷体_GBK" w:eastAsia="方正楷体_GBK" w:cs="方正楷体_GBK"/>
          <w:sz w:val="32"/>
          <w:szCs w:val="32"/>
          <w:lang w:val="en-US" w:eastAsia="zh-CN"/>
        </w:rPr>
        <w:t>〔市养老服务联席会议成员单位按职责分工负责，各县（市、区）人民政府（含管委会）负责。以下各项均需各县（市、区）人民政府（含管委会）负责，不再列出〕</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2.完善老年人能力综合评估制度。</w:t>
      </w:r>
      <w:r>
        <w:rPr>
          <w:rFonts w:hint="eastAsia" w:ascii="Times New Roman" w:hAnsi="Times New Roman" w:eastAsia="方正仿宋_GBK" w:cs="Times New Roman"/>
          <w:sz w:val="32"/>
          <w:szCs w:val="32"/>
          <w:u w:val="none"/>
          <w:lang w:val="en-US" w:eastAsia="zh-CN"/>
        </w:rPr>
        <w:t>落实《老年人能力评估规范》国家标准，进一步建立健全全市统一的老年人能力综合评估制度。</w:t>
      </w:r>
      <w:r>
        <w:rPr>
          <w:rFonts w:hint="eastAsia" w:ascii="Times New Roman" w:hAnsi="Times New Roman" w:eastAsia="方正仿宋_GBK" w:cs="Times New Roman"/>
          <w:sz w:val="32"/>
          <w:szCs w:val="32"/>
          <w:highlight w:val="none"/>
          <w:u w:val="none"/>
          <w:lang w:val="en-US" w:eastAsia="zh-CN"/>
        </w:rPr>
        <w:t>评估</w:t>
      </w:r>
      <w:r>
        <w:rPr>
          <w:rFonts w:hint="eastAsia" w:ascii="Times New Roman" w:hAnsi="Times New Roman" w:eastAsia="方正仿宋_GBK" w:cs="Times New Roman"/>
          <w:sz w:val="32"/>
          <w:szCs w:val="32"/>
          <w:u w:val="none"/>
          <w:lang w:val="en-US" w:eastAsia="zh-CN"/>
        </w:rPr>
        <w:t>结果作为老年人享受福利待遇、接受基本养老服务的重要依据，全市范围内互联互通互认互享，各部门按需使用。</w:t>
      </w:r>
      <w:r>
        <w:rPr>
          <w:rFonts w:hint="eastAsia" w:ascii="Times New Roman" w:hAnsi="Times New Roman" w:eastAsia="方正仿宋_GBK" w:cs="Times New Roman"/>
          <w:sz w:val="32"/>
          <w:szCs w:val="32"/>
          <w:highlight w:val="none"/>
          <w:u w:val="none"/>
          <w:lang w:val="en-US" w:eastAsia="zh-CN"/>
        </w:rPr>
        <w:t>稳妥推进老年人能力评估师的社会化评价，培育一批规范化老年人能力评估机构。建立老年人长期护理保险失能等级评估结果共享机制，对符合长期护理保险待遇享受条件的失能老年人，民政部门在开展老年人能力综合评估、指导养老机构开展入院评估时，直接采信长期护理保险评定结果。</w:t>
      </w:r>
      <w:r>
        <w:rPr>
          <w:rFonts w:hint="eastAsia" w:ascii="Times New Roman" w:hAnsi="Times New Roman" w:eastAsia="方正仿宋_GBK" w:cs="Times New Roman"/>
          <w:sz w:val="32"/>
          <w:szCs w:val="32"/>
          <w:u w:val="none"/>
          <w:lang w:val="en-US" w:eastAsia="zh-CN"/>
        </w:rPr>
        <w:t>推动老年人能力综合评估与基本公共卫生服务相衔接，与65周岁及以上老年居民和企业退休人员健康体检项目结合开展评估服务。加强高龄老年人评估服务，到2025年，全市80周岁及以上老年人能力综合评估实现全覆盖。</w:t>
      </w:r>
      <w:r>
        <w:rPr>
          <w:rFonts w:hint="eastAsia" w:ascii="方正楷体_GBK" w:hAnsi="方正楷体_GBK" w:eastAsia="方正楷体_GBK" w:cs="方正楷体_GBK"/>
          <w:sz w:val="32"/>
          <w:szCs w:val="32"/>
          <w:lang w:val="en-US" w:eastAsia="zh-CN"/>
        </w:rPr>
        <w:t>〔市民政局、市人社局、市卫健委、市医保局等按职责分工负责〕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3.深化精准服务主动响应机制。</w:t>
      </w:r>
      <w:r>
        <w:rPr>
          <w:rFonts w:hint="default" w:ascii="Times New Roman" w:hAnsi="Times New Roman" w:eastAsia="方正仿宋_GBK" w:cs="Times New Roman"/>
          <w:sz w:val="32"/>
          <w:szCs w:val="32"/>
          <w:lang w:val="en-US" w:eastAsia="zh-CN"/>
        </w:rPr>
        <w:t>建立老年人状况统计调查和发布制度，开展全市老龄人口、发展趋势以及养老服务状况抽样调查，为优化基本养老服务政策提供依据。依托</w:t>
      </w:r>
      <w:r>
        <w:rPr>
          <w:rFonts w:hint="eastAsia" w:ascii="方正仿宋_GBK" w:hAnsi="方正仿宋_GBK" w:eastAsia="方正仿宋_GBK" w:cs="方正仿宋_GBK"/>
          <w:sz w:val="32"/>
          <w:szCs w:val="32"/>
          <w:lang w:val="en-US" w:eastAsia="zh-CN"/>
        </w:rPr>
        <w:t>“通城养老”、“区块链+民政”</w:t>
      </w:r>
      <w:r>
        <w:rPr>
          <w:rFonts w:hint="default" w:ascii="Times New Roman" w:hAnsi="Times New Roman" w:eastAsia="方正仿宋_GBK" w:cs="Times New Roman"/>
          <w:sz w:val="32"/>
          <w:szCs w:val="32"/>
          <w:lang w:val="en-US" w:eastAsia="zh-CN"/>
        </w:rPr>
        <w:t>、政务数据共享交换等平台，推进公安、民政、人社、卫健、医保等跨部门数据共享，建立老年人基础信息库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实现基本养老服务对象信息、服务保障信息统一归集、互认和共享</w:t>
      </w:r>
      <w:r>
        <w:rPr>
          <w:rFonts w:hint="eastAsia" w:ascii="Times New Roman" w:hAnsi="Times New Roman" w:eastAsia="方正仿宋_GBK" w:cs="Times New Roman"/>
          <w:sz w:val="32"/>
          <w:szCs w:val="32"/>
          <w:lang w:val="en-US" w:eastAsia="zh-CN"/>
        </w:rPr>
        <w:t>。建立</w:t>
      </w:r>
      <w:r>
        <w:rPr>
          <w:rFonts w:hint="default" w:ascii="Times New Roman" w:hAnsi="Times New Roman" w:eastAsia="方正仿宋_GBK" w:cs="Times New Roman"/>
          <w:sz w:val="32"/>
          <w:szCs w:val="32"/>
          <w:lang w:val="en-US" w:eastAsia="zh-CN"/>
        </w:rPr>
        <w:t>困难老年人精准识别和动态管理机制，细化与常住人口、服务半径挂钩的制度安排，逐步实现</w:t>
      </w:r>
      <w:r>
        <w:rPr>
          <w:rFonts w:hint="default" w:ascii="方正仿宋_GBK" w:hAnsi="方正仿宋_GBK" w:eastAsia="方正仿宋_GBK" w:cs="方正仿宋_GBK"/>
          <w:sz w:val="32"/>
          <w:szCs w:val="32"/>
          <w:lang w:val="en-US" w:eastAsia="zh-CN"/>
        </w:rPr>
        <w:t>从“人找服务”到“服务找人”。</w:t>
      </w:r>
      <w:r>
        <w:rPr>
          <w:rFonts w:hint="default" w:ascii="Times New Roman" w:hAnsi="Times New Roman" w:eastAsia="方正仿宋_GBK" w:cs="Times New Roman"/>
          <w:sz w:val="32"/>
          <w:szCs w:val="32"/>
          <w:lang w:val="en-US" w:eastAsia="zh-CN"/>
        </w:rPr>
        <w:t>建立尊老金主动发放制度，推进符合条件的老年人尊老金</w:t>
      </w:r>
      <w:r>
        <w:rPr>
          <w:rFonts w:hint="eastAsia" w:ascii="方正仿宋_GBK" w:hAnsi="方正仿宋_GBK" w:eastAsia="方正仿宋_GBK" w:cs="方正仿宋_GBK"/>
          <w:sz w:val="32"/>
          <w:szCs w:val="32"/>
          <w:lang w:val="en-US" w:eastAsia="zh-CN"/>
        </w:rPr>
        <w:t>“免申即享”</w:t>
      </w:r>
      <w:r>
        <w:rPr>
          <w:rFonts w:hint="default" w:ascii="Times New Roman" w:hAnsi="Times New Roman" w:eastAsia="方正仿宋_GBK" w:cs="Times New Roman"/>
          <w:sz w:val="32"/>
          <w:szCs w:val="32"/>
          <w:lang w:val="en-US" w:eastAsia="zh-CN"/>
        </w:rPr>
        <w:t>、动态管理。健全养老服务顾问制度，为有需要的老年人及家庭提供养老服务政策咨询、信息查询、方案建议、资源链接等服务。</w:t>
      </w:r>
      <w:r>
        <w:rPr>
          <w:rFonts w:hint="eastAsia" w:ascii="方正楷体_GBK" w:hAnsi="方正楷体_GBK" w:eastAsia="方正楷体_GBK" w:cs="方正楷体_GBK"/>
          <w:sz w:val="32"/>
          <w:szCs w:val="32"/>
          <w:lang w:val="en-US" w:eastAsia="zh-CN"/>
        </w:rPr>
        <w:t>〔市民政局、市公安局、市人社局、市卫健委、市医保局、市统计局、市大数据管理局等按职责分工负责〕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（二）完善基本养老服务设施</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楷体_GBK" w:hAnsi="方正楷体_GBK" w:eastAsia="方正楷体_GBK" w:cs="方正楷体_GBK"/>
          <w:sz w:val="32"/>
          <w:szCs w:val="32"/>
          <w:lang w:val="en-US" w:eastAsia="zh-CN"/>
        </w:rPr>
      </w:pPr>
      <w:r>
        <w:rPr>
          <w:rFonts w:hint="eastAsia" w:ascii="Times New Roman" w:hAnsi="Times New Roman" w:eastAsia="方正仿宋_GBK" w:cs="Times New Roman"/>
          <w:b/>
          <w:bCs/>
          <w:sz w:val="32"/>
          <w:szCs w:val="32"/>
          <w:lang w:val="en-US" w:eastAsia="zh-CN"/>
        </w:rPr>
        <w:t>4.强化养老服务设施规划布局。</w:t>
      </w:r>
      <w:r>
        <w:rPr>
          <w:rFonts w:hint="eastAsia" w:ascii="Times New Roman" w:hAnsi="Times New Roman" w:eastAsia="方正仿宋_GBK" w:cs="Times New Roman"/>
          <w:sz w:val="32"/>
          <w:szCs w:val="32"/>
          <w:u w:val="none"/>
          <w:lang w:val="en-US" w:eastAsia="zh-CN"/>
        </w:rPr>
        <w:t>严格按照人均用地不少于0.2平方米的标准，分区分级合理布局养老服务设施。</w:t>
      </w:r>
      <w:r>
        <w:rPr>
          <w:rFonts w:hint="eastAsia" w:ascii="Times New Roman" w:hAnsi="Times New Roman" w:eastAsia="方正仿宋_GBK" w:cs="Times New Roman"/>
          <w:sz w:val="32"/>
          <w:szCs w:val="32"/>
          <w:lang w:val="en-US" w:eastAsia="zh-CN"/>
        </w:rPr>
        <w:t>开展市区养老服务设施现状、存在问题及对策建议调研，修编市区养老服务设施专项规划。其他县（市）结合当地经济社会发展水平、老年人口状况和发展趋势、环境条件等因素，2024年前完成当地养老服务设施专项规划编制工作。将专项规划主要内容纳入国土空间详细规划，叠加到国土空间规划“一张图”上，切实保障基本养老服务用地需求。详细规划确定的养老服务设施用地，未经履行法定修改程序不得随意改变土地用途。</w:t>
      </w: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u w:val="none"/>
          <w:lang w:val="en-US" w:eastAsia="zh-CN"/>
        </w:rPr>
        <w:t>市资规局、市住建局、市民政局等按职责分工负责</w:t>
      </w:r>
      <w:r>
        <w:rPr>
          <w:rFonts w:hint="eastAsia" w:ascii="方正楷体_GBK" w:hAnsi="方正楷体_GBK" w:eastAsia="方正楷体_GBK" w:cs="方正楷体_GBK"/>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5.规范社区养老服务设施建设。</w:t>
      </w:r>
      <w:r>
        <w:rPr>
          <w:rFonts w:hint="eastAsia" w:ascii="Times New Roman" w:hAnsi="Times New Roman" w:eastAsia="方正仿宋_GBK" w:cs="Times New Roman"/>
          <w:sz w:val="32"/>
          <w:szCs w:val="32"/>
          <w:lang w:val="en-US" w:eastAsia="zh-CN"/>
        </w:rPr>
        <w:t>以县（市、区）为单位建设示范性居家社区养老服务网络，构建“15分钟养老服务圈”。2023年底前，城市街道标准化综合性养老服务中心实现全覆盖。2024年底前，城乡社区养老服务站点实现全覆盖。</w:t>
      </w:r>
      <w:r>
        <w:rPr>
          <w:rFonts w:hint="eastAsia" w:ascii="Times New Roman" w:hAnsi="Times New Roman" w:eastAsia="方正仿宋_GBK" w:cs="Times New Roman"/>
          <w:sz w:val="32"/>
          <w:szCs w:val="32"/>
          <w:highlight w:val="none"/>
          <w:lang w:val="en-US" w:eastAsia="zh-CN"/>
        </w:rPr>
        <w:t>推进乡村互助养老睦邻点建设，为有需求的老年村民提供日托、探访、助餐助浴、文化娱乐等服务。严格落实新建住宅项目养老服务设施配套建设要求，新建城区和居住区按每百户不少于30平方米、单体面积不少于600平方米的标准配建公益性养老用房，并在土地出让时纳入建设项目规划条件；</w:t>
      </w:r>
      <w:r>
        <w:rPr>
          <w:rFonts w:hint="eastAsia" w:ascii="Times New Roman" w:hAnsi="Times New Roman" w:eastAsia="方正仿宋_GBK" w:cs="Times New Roman"/>
          <w:sz w:val="32"/>
          <w:szCs w:val="32"/>
          <w:lang w:val="en-US" w:eastAsia="zh-CN"/>
        </w:rPr>
        <w:t>老城区和已建成居住区采取政府回购、租赁等形式，按每百户不少于20平方米的标准调剂解决到位，确保配套设施优先用于基本养老服务。多个占有地面积较小的居住区可按标准统筹设置养老服务配套设施。各县（市、区）人民政府制定老城区和已建成居住区养老服务设施配建补齐工作方案，确保到2024年6月底前补齐社区养老服务设施短板。</w:t>
      </w:r>
      <w:r>
        <w:rPr>
          <w:rFonts w:hint="eastAsia" w:ascii="方正楷体_GBK" w:hAnsi="方正楷体_GBK" w:eastAsia="方正楷体_GBK" w:cs="方正楷体_GBK"/>
          <w:sz w:val="32"/>
          <w:szCs w:val="32"/>
          <w:lang w:val="en-US" w:eastAsia="zh-CN"/>
        </w:rPr>
        <w:t>〔市民政局、市住建局、市资规局等按职责分工负责〕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楷体_GBK" w:hAnsi="方正楷体_GBK" w:eastAsia="方正楷体_GBK" w:cs="方正楷体_GBK"/>
          <w:sz w:val="32"/>
          <w:szCs w:val="32"/>
          <w:lang w:val="en-US" w:eastAsia="zh-CN"/>
        </w:rPr>
      </w:pPr>
      <w:r>
        <w:rPr>
          <w:rFonts w:hint="eastAsia" w:ascii="Times New Roman" w:hAnsi="Times New Roman" w:eastAsia="方正仿宋_GBK" w:cs="Times New Roman"/>
          <w:b/>
          <w:bCs/>
          <w:sz w:val="32"/>
          <w:szCs w:val="32"/>
          <w:lang w:val="en-US" w:eastAsia="zh-CN"/>
        </w:rPr>
        <w:t>6.推进居家适老服务设施改造。</w:t>
      </w:r>
      <w:r>
        <w:rPr>
          <w:rFonts w:hint="eastAsia" w:ascii="Times New Roman" w:hAnsi="Times New Roman" w:eastAsia="方正仿宋_GBK" w:cs="Times New Roman"/>
          <w:sz w:val="32"/>
          <w:szCs w:val="32"/>
          <w:lang w:val="en-US" w:eastAsia="zh-CN"/>
        </w:rPr>
        <w:t>持续推进居家适老化改造工程，将政府购买改造服务范围逐步扩大至计划生育特殊家庭以及政府购买养老服务对象中的高龄、失能、残疾老年人家庭。到2025年，全市完成居家适老化改造家庭不少于1.6万户。优先推进与老年人密切相关的公共服务设施和居住小区无障碍改造，为老年人提供安全、便利、舒适的生活环境。</w:t>
      </w:r>
      <w:r>
        <w:rPr>
          <w:rFonts w:hint="eastAsia" w:ascii="Times New Roman" w:hAnsi="Times New Roman" w:eastAsia="方正仿宋_GBK" w:cs="Times New Roman"/>
          <w:sz w:val="32"/>
          <w:szCs w:val="32"/>
          <w:u w:val="none"/>
          <w:lang w:val="en-US" w:eastAsia="zh-CN"/>
        </w:rPr>
        <w:t>加强信息无障碍建设，依托全省一体化政务服务平台，推进政务数据共享，实现社会保险待遇资格认证、津贴补贴领取等老年人高频服务事项便捷办理。医疗、社保、民政、金融等生活性服务保留线下办理渠道。推进“通城养老”综合为老服务平台建设和“区块链+民政”国家创新应用试点，向社会公开养老服务政策、养老服务设施地图等信息。加强老年人运用智能技术培训，帮助老年人积极融入信息社会，跨越“数字鸿沟”。</w:t>
      </w:r>
      <w:r>
        <w:rPr>
          <w:rFonts w:hint="eastAsia" w:ascii="方正楷体_GBK" w:hAnsi="方正楷体_GBK" w:eastAsia="方正楷体_GBK" w:cs="方正楷体_GBK"/>
          <w:sz w:val="32"/>
          <w:szCs w:val="32"/>
          <w:lang w:val="en-US" w:eastAsia="zh-CN"/>
        </w:rPr>
        <w:t>〔市民政局、市住建局、市财政局、市发改委、市工信局、市教育局、市人社局、市卫健委、市政务办等按职责分工负责〕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（三）优化基本养老服务供给</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7.发挥公办养老机构基础作用。</w:t>
      </w:r>
      <w:r>
        <w:rPr>
          <w:rFonts w:hint="eastAsia" w:ascii="Times New Roman" w:hAnsi="Times New Roman" w:eastAsia="方正仿宋_GBK" w:cs="Times New Roman"/>
          <w:sz w:val="32"/>
          <w:szCs w:val="32"/>
          <w:lang w:val="en-US" w:eastAsia="zh-CN"/>
        </w:rPr>
        <w:t>推进失能特困人员集中供养机构和农村区域性养老服务中心建设，每个县（市、区）至少有1所以失能特困人员专业照护为主的县级特困人员供养服务机构，农村敬老院全部转型为标准化区域性养老服务中心。优化现有农村敬老院结构布局，关停撤并地理位置偏远、供养人数较少、服务功能较弱的农村敬老院。推进农村敬老院体制机制改革，支持农村敬老院县级统一管理。</w:t>
      </w:r>
      <w:r>
        <w:rPr>
          <w:rFonts w:hint="default" w:ascii="Times New Roman" w:hAnsi="Times New Roman" w:eastAsia="方正仿宋_GBK" w:cs="Times New Roman"/>
          <w:sz w:val="32"/>
          <w:szCs w:val="32"/>
          <w:highlight w:val="none"/>
          <w:lang w:val="en-US" w:eastAsia="zh-CN"/>
        </w:rPr>
        <w:t>完善公办养老机构入住管理制度，明确老年人入住条件和排序</w:t>
      </w:r>
      <w:r>
        <w:rPr>
          <w:rFonts w:hint="eastAsia" w:ascii="Times New Roman" w:hAnsi="Times New Roman" w:eastAsia="方正仿宋_GBK" w:cs="Times New Roman"/>
          <w:sz w:val="32"/>
          <w:szCs w:val="32"/>
          <w:highlight w:val="none"/>
          <w:lang w:val="en-US" w:eastAsia="zh-CN"/>
        </w:rPr>
        <w:t>规则。现役军人家属和烈士、因公牺牲军人、病故军人的遗属，符合规定条件申请入住公办养老机构的，同等条件下优先安排。</w:t>
      </w:r>
      <w:r>
        <w:rPr>
          <w:rFonts w:hint="eastAsia" w:ascii="Times New Roman" w:hAnsi="Times New Roman" w:eastAsia="方正仿宋_GBK" w:cs="Times New Roman"/>
          <w:sz w:val="32"/>
          <w:szCs w:val="32"/>
          <w:highlight w:val="none"/>
          <w:u w:val="none"/>
          <w:lang w:val="en-US" w:eastAsia="zh-CN"/>
        </w:rPr>
        <w:t>依托“通城养老”综合为老服务平台和“区块链+民政”国家创新应用试点，</w:t>
      </w:r>
      <w:r>
        <w:rPr>
          <w:rFonts w:hint="eastAsia" w:ascii="Times New Roman" w:hAnsi="Times New Roman" w:eastAsia="方正仿宋_GBK" w:cs="Times New Roman"/>
          <w:sz w:val="32"/>
          <w:szCs w:val="32"/>
          <w:highlight w:val="none"/>
          <w:lang w:val="en-US" w:eastAsia="zh-CN"/>
        </w:rPr>
        <w:t>动态完善养老服务设施信息，定期向社会发布公办养老机构床位情况。在</w:t>
      </w:r>
      <w:r>
        <w:rPr>
          <w:rFonts w:hint="default" w:ascii="Times New Roman" w:hAnsi="Times New Roman" w:eastAsia="方正仿宋_GBK" w:cs="Times New Roman"/>
          <w:sz w:val="32"/>
          <w:szCs w:val="32"/>
          <w:highlight w:val="none"/>
          <w:lang w:val="en-US" w:eastAsia="zh-CN"/>
        </w:rPr>
        <w:t>确保国有资产不流失、公益属性不改变、兜底功能不弱化、服务质量不降低</w:t>
      </w:r>
      <w:r>
        <w:rPr>
          <w:rFonts w:hint="eastAsia" w:ascii="Times New Roman" w:hAnsi="Times New Roman" w:eastAsia="方正仿宋_GBK" w:cs="Times New Roman"/>
          <w:sz w:val="32"/>
          <w:szCs w:val="32"/>
          <w:highlight w:val="none"/>
          <w:lang w:val="en-US" w:eastAsia="zh-CN"/>
        </w:rPr>
        <w:t>的前提下，</w:t>
      </w:r>
      <w:r>
        <w:rPr>
          <w:rFonts w:hint="default" w:ascii="Times New Roman" w:hAnsi="Times New Roman" w:eastAsia="方正仿宋_GBK" w:cs="Times New Roman"/>
          <w:sz w:val="32"/>
          <w:szCs w:val="32"/>
          <w:highlight w:val="none"/>
          <w:lang w:val="en-US" w:eastAsia="zh-CN"/>
        </w:rPr>
        <w:t>择优选择</w:t>
      </w:r>
      <w:r>
        <w:rPr>
          <w:rFonts w:hint="eastAsia" w:ascii="Times New Roman" w:hAnsi="Times New Roman" w:eastAsia="方正仿宋_GBK" w:cs="Times New Roman"/>
          <w:sz w:val="32"/>
          <w:szCs w:val="32"/>
          <w:highlight w:val="none"/>
          <w:lang w:val="en-US" w:eastAsia="zh-CN"/>
        </w:rPr>
        <w:t>医疗健康资源、养老护理业务相对成熟且管理经验丰富的社会资本开展公办民营，加强绩效监管，提高服务质效</w:t>
      </w:r>
      <w:r>
        <w:rPr>
          <w:rFonts w:hint="default" w:ascii="Times New Roman" w:hAnsi="Times New Roman" w:eastAsia="方正仿宋_GBK" w:cs="Times New Roman"/>
          <w:sz w:val="32"/>
          <w:szCs w:val="32"/>
          <w:highlight w:val="none"/>
          <w:lang w:val="en-US" w:eastAsia="zh-CN"/>
        </w:rPr>
        <w:t>。</w:t>
      </w:r>
      <w:r>
        <w:rPr>
          <w:rFonts w:hint="eastAsia" w:ascii="方正楷体_GBK" w:hAnsi="方正楷体_GBK" w:eastAsia="方正楷体_GBK" w:cs="方正楷体_GBK"/>
          <w:sz w:val="32"/>
          <w:szCs w:val="32"/>
          <w:lang w:val="en-US" w:eastAsia="zh-CN"/>
        </w:rPr>
        <w:t>〔市民政局、市发改委、市农业农村局、市卫健委、市财政局、市退役军人事务局等按职责分工负责〕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8.鼓励</w:t>
      </w:r>
      <w:r>
        <w:rPr>
          <w:rFonts w:hint="eastAsia" w:ascii="Times New Roman" w:hAnsi="Times New Roman" w:eastAsia="方正仿宋_GBK" w:cs="Times New Roman"/>
          <w:b/>
          <w:bCs/>
          <w:sz w:val="32"/>
          <w:szCs w:val="32"/>
          <w:u w:val="none"/>
          <w:lang w:val="en-US" w:eastAsia="zh-CN"/>
        </w:rPr>
        <w:t>社会资本</w:t>
      </w:r>
      <w:r>
        <w:rPr>
          <w:rFonts w:hint="eastAsia" w:ascii="Times New Roman" w:hAnsi="Times New Roman" w:eastAsia="方正仿宋_GBK" w:cs="Times New Roman"/>
          <w:b/>
          <w:bCs/>
          <w:sz w:val="32"/>
          <w:szCs w:val="32"/>
          <w:lang w:val="en-US" w:eastAsia="zh-CN"/>
        </w:rPr>
        <w:t>参与基本养老服务。</w:t>
      </w:r>
      <w:r>
        <w:rPr>
          <w:rFonts w:hint="eastAsia" w:ascii="Times New Roman" w:hAnsi="Times New Roman" w:eastAsia="方正仿宋_GBK" w:cs="Times New Roman"/>
          <w:sz w:val="32"/>
          <w:szCs w:val="32"/>
          <w:highlight w:val="none"/>
          <w:lang w:val="en-US" w:eastAsia="zh-CN"/>
        </w:rPr>
        <w:t>综合运用规划、土地、住房、财政、投资、融资、人才、税费等优惠扶持政策，支持社会力量参与提供基本养老服务。鼓励通过政府购买服务等方式，由养老服务企业、社会组织承接，保障困难老年人群基本养老服务需求。</w:t>
      </w:r>
      <w:r>
        <w:rPr>
          <w:rFonts w:hint="eastAsia" w:ascii="Times New Roman" w:hAnsi="Times New Roman" w:eastAsia="方正仿宋_GBK" w:cs="Times New Roman"/>
          <w:sz w:val="32"/>
          <w:szCs w:val="32"/>
          <w:u w:val="none"/>
          <w:lang w:val="en-US" w:eastAsia="zh-CN"/>
        </w:rPr>
        <w:t>支持利用企业厂房、宾馆酒店、医院、疗养院、办公楼、社区配套用房等闲置资源和存量房产改造举办养老机构，有关部门应当简化办事程序，</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及时办理消防审验等相关手续，并加强监督管理。</w:t>
      </w:r>
      <w:r>
        <w:rPr>
          <w:rFonts w:hint="eastAsia" w:ascii="Times New Roman" w:hAnsi="Times New Roman" w:eastAsia="方正仿宋_GBK" w:cs="Times New Roman"/>
          <w:sz w:val="32"/>
          <w:szCs w:val="32"/>
          <w:lang w:val="en-US" w:eastAsia="zh-CN"/>
        </w:rPr>
        <w:t>各县（市、区）人民政府要建立存量资源统筹利用“一事一议”协调机制，定期集中处置存量房屋和设施改造中规划、消防等手续办理问题。</w:t>
      </w:r>
      <w:r>
        <w:rPr>
          <w:rFonts w:hint="eastAsia" w:ascii="Times New Roman" w:hAnsi="Times New Roman" w:eastAsia="方正仿宋_GBK" w:cs="Times New Roman"/>
          <w:sz w:val="32"/>
          <w:szCs w:val="32"/>
          <w:highlight w:val="none"/>
          <w:lang w:val="en-US" w:eastAsia="zh-CN"/>
        </w:rPr>
        <w:t>鼓励和引导企业、社会组织、个人等社会力量依法通过捐赠、设立慈善基金、参与志愿服务等方式，为基本养老服务提供支持。</w:t>
      </w:r>
      <w:r>
        <w:rPr>
          <w:rFonts w:hint="eastAsia" w:ascii="方正楷体_GBK" w:hAnsi="方正楷体_GBK" w:eastAsia="方正楷体_GBK" w:cs="方正楷体_GBK"/>
          <w:sz w:val="32"/>
          <w:szCs w:val="32"/>
          <w:lang w:val="en-US" w:eastAsia="zh-CN"/>
        </w:rPr>
        <w:t>〔市发改委、市民政局、市财政局、市资规局、市住建局、市行政审批局、</w:t>
      </w:r>
      <w:r>
        <w:rPr>
          <w:rFonts w:hint="eastAsia" w:ascii="方正楷体_GBK" w:hAnsi="方正楷体_GBK" w:eastAsia="方正楷体_GBK" w:cs="方正楷体_GBK"/>
          <w:sz w:val="32"/>
          <w:szCs w:val="32"/>
          <w:highlight w:val="none"/>
          <w:lang w:val="en-US" w:eastAsia="zh-CN"/>
        </w:rPr>
        <w:t>市慈善总会</w:t>
      </w:r>
      <w:r>
        <w:rPr>
          <w:rFonts w:hint="eastAsia" w:ascii="方正楷体_GBK" w:hAnsi="方正楷体_GBK" w:eastAsia="方正楷体_GBK" w:cs="方正楷体_GBK"/>
          <w:sz w:val="32"/>
          <w:szCs w:val="32"/>
          <w:lang w:val="en-US" w:eastAsia="zh-CN"/>
        </w:rPr>
        <w:t>等按职责分工负责〕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9.提升基本养老服务质量。</w:t>
      </w:r>
      <w:r>
        <w:rPr>
          <w:rFonts w:hint="eastAsia" w:ascii="Times New Roman" w:hAnsi="Times New Roman" w:eastAsia="方正仿宋_GBK" w:cs="Times New Roman"/>
          <w:sz w:val="32"/>
          <w:szCs w:val="32"/>
          <w:lang w:val="en-US" w:eastAsia="zh-CN"/>
        </w:rPr>
        <w:t>深化“链式养老”服务模式，研究制定深化“链式养老”服务模式的实施意见，支持养老机构运营居家社区养老服务设施，推进机构专业服务向社区家庭延伸，实现居家照护、社区照护和机构照护无缝对接，为老年人提供从机构到社区居家相衔接的一体化专业养老服务。到2025年，全市“链式养老”服务模式成熟完备，形成一批具有示范带动作用的以照护为主业、辐射社区周边、兼顾上门服务的养老服务综合机构，所有社区居家养老服务设施由专业养老机构承接运营，链式养老服务实现镇村两级全覆盖，接受居家上门服务的老年人占老年人口总数比例不低于18%。</w:t>
      </w:r>
      <w:r>
        <w:rPr>
          <w:rFonts w:hint="eastAsia" w:ascii="方正楷体_GBK" w:hAnsi="方正楷体_GBK" w:eastAsia="方正楷体_GBK" w:cs="方正楷体_GBK"/>
          <w:sz w:val="32"/>
          <w:szCs w:val="32"/>
          <w:lang w:val="en-US" w:eastAsia="zh-CN"/>
        </w:rPr>
        <w:t>〔市民政局、市财政局等按职责分工负责〕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10.加大国有经济对养老服务的支持。</w:t>
      </w:r>
      <w:r>
        <w:rPr>
          <w:rFonts w:hint="eastAsia" w:ascii="Times New Roman" w:hAnsi="Times New Roman" w:eastAsia="方正仿宋_GBK" w:cs="Times New Roman"/>
          <w:sz w:val="32"/>
          <w:szCs w:val="32"/>
          <w:lang w:val="en-US" w:eastAsia="zh-CN"/>
        </w:rPr>
        <w:t>支持市级国有企业参与区域基本养老服务体系建设，发挥标杆示范引领、公益床位储备、风险应急处置等作用。</w:t>
      </w:r>
      <w:r>
        <w:rPr>
          <w:rFonts w:hint="eastAsia" w:ascii="Times New Roman" w:hAnsi="Times New Roman" w:eastAsia="方正仿宋_GBK" w:cs="Times New Roman"/>
          <w:sz w:val="32"/>
          <w:szCs w:val="32"/>
          <w:highlight w:val="none"/>
          <w:lang w:val="en-US" w:eastAsia="zh-CN"/>
        </w:rPr>
        <w:t>支持有条件的县（市、区）组建国有养老服务集团公司，通过资产无偿划转、收购等方式将公办养老机构改制为国有企业或拓展为连锁服务机构。充分发挥国有企业资源优势，在康养、医养等领域提供差异化供给，补齐养老产业链，塑造国有养老品牌。</w:t>
      </w:r>
      <w:r>
        <w:rPr>
          <w:rFonts w:hint="eastAsia" w:ascii="Times New Roman" w:hAnsi="Times New Roman" w:eastAsia="方正仿宋_GBK" w:cs="Times New Roman"/>
          <w:sz w:val="32"/>
          <w:szCs w:val="32"/>
          <w:lang w:val="en-US" w:eastAsia="zh-CN"/>
        </w:rPr>
        <w:t>国有企业兴办养老机构，享受社会力量参与养老服务的支持政策。积极推进培训疗养机构改革，鼓励党政机关、国有企事业单位将具有教育培训或疗养休养功能的各类机构转型为普惠型养老服务机构。</w:t>
      </w:r>
      <w:r>
        <w:rPr>
          <w:rFonts w:hint="eastAsia" w:ascii="方正楷体_GBK" w:hAnsi="方正楷体_GBK" w:eastAsia="方正楷体_GBK" w:cs="方正楷体_GBK"/>
          <w:sz w:val="32"/>
          <w:szCs w:val="32"/>
          <w:lang w:val="en-US" w:eastAsia="zh-CN"/>
        </w:rPr>
        <w:t>〔市国资委、市发改委、市民政局、市住建局、市机关事务管理局等按职责分工负责〕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（四）加强重点人群服务保障</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11.加强困难老年人兜底保障。</w:t>
      </w:r>
      <w:r>
        <w:rPr>
          <w:rFonts w:hint="eastAsia" w:ascii="Times New Roman" w:hAnsi="Times New Roman" w:eastAsia="方正仿宋_GBK" w:cs="Times New Roman"/>
          <w:sz w:val="32"/>
          <w:szCs w:val="32"/>
          <w:lang w:val="en-US" w:eastAsia="zh-CN"/>
        </w:rPr>
        <w:t>将符合条件的困难老年人相应纳入特困人员供养、最低生活保障救助范围，给予基本生活兜底保障。根据特困供养老年人生活自理能力分档确定照料护理标准。为经济困难的高龄老年人、失能老年人提供养老服务补贴、养老护理补贴，并适时调整补贴标准。</w:t>
      </w:r>
      <w:r>
        <w:rPr>
          <w:rFonts w:hint="eastAsia" w:ascii="Times New Roman" w:hAnsi="Times New Roman" w:eastAsia="方正仿宋_GBK" w:cs="Times New Roman"/>
          <w:sz w:val="32"/>
          <w:szCs w:val="32"/>
          <w:highlight w:val="none"/>
          <w:lang w:val="en-US" w:eastAsia="zh-CN"/>
        </w:rPr>
        <w:t>研究低保、低保边缘、支出型困难家庭老年人入住养老机构补贴制度。对80周岁及以上高龄的、经济困难家庭以及计划生育特殊家庭中失能（半失能）的空巢独居老年人，</w:t>
      </w:r>
      <w:r>
        <w:rPr>
          <w:rFonts w:hint="eastAsia" w:ascii="Times New Roman" w:hAnsi="Times New Roman" w:eastAsia="方正仿宋_GBK" w:cs="Times New Roman"/>
          <w:sz w:val="32"/>
          <w:szCs w:val="32"/>
          <w:lang w:val="en-US" w:eastAsia="zh-CN"/>
        </w:rPr>
        <w:t>健全农村“一助一”关爱服务和城市独居老人探访服务制度，依托居（村）民自治组织和邻里互助等力量，纳入网格化服务管理，每周通过上门或电话、视频形式提供至少一次探访关爱服务，防范安全风险。</w:t>
      </w:r>
      <w:r>
        <w:rPr>
          <w:rFonts w:hint="eastAsia" w:ascii="方正楷体_GBK" w:hAnsi="方正楷体_GBK" w:eastAsia="方正楷体_GBK" w:cs="方正楷体_GBK"/>
          <w:sz w:val="32"/>
          <w:szCs w:val="32"/>
          <w:lang w:val="en-US" w:eastAsia="zh-CN"/>
        </w:rPr>
        <w:t>〔市民政局、市财政局、市卫健委等按职责分工负责〕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12.加强失能失智老年人</w:t>
      </w:r>
      <w:r>
        <w:rPr>
          <w:rFonts w:hint="eastAsia" w:ascii="Times New Roman" w:hAnsi="Times New Roman" w:eastAsia="方正仿宋_GBK" w:cs="Times New Roman"/>
          <w:b/>
          <w:bCs/>
          <w:sz w:val="32"/>
          <w:szCs w:val="32"/>
          <w:highlight w:val="none"/>
          <w:lang w:val="en-US" w:eastAsia="zh-CN"/>
        </w:rPr>
        <w:t>长期</w:t>
      </w:r>
      <w:r>
        <w:rPr>
          <w:rFonts w:hint="eastAsia" w:ascii="Times New Roman" w:hAnsi="Times New Roman" w:eastAsia="方正仿宋_GBK" w:cs="Times New Roman"/>
          <w:b/>
          <w:bCs/>
          <w:sz w:val="32"/>
          <w:szCs w:val="32"/>
          <w:lang w:val="en-US" w:eastAsia="zh-CN"/>
        </w:rPr>
        <w:t>照护服务。</w:t>
      </w:r>
      <w:r>
        <w:rPr>
          <w:rFonts w:hint="eastAsia" w:ascii="Times New Roman" w:hAnsi="Times New Roman" w:eastAsia="方正仿宋_GBK" w:cs="Times New Roman"/>
          <w:sz w:val="32"/>
          <w:szCs w:val="32"/>
          <w:lang w:val="en-US" w:eastAsia="zh-CN"/>
        </w:rPr>
        <w:t>依托具备失能照护能力的养老机构和居家养老服务组织，对照《江苏省家庭养老照护床位建设和服务规范》（DB32/4182-2021），建设运营家庭养老床位，提供长期照护、康复护理、陪诊转介等服务。到2024年底前，全市新增家庭养老照护床位4000张。通过政府购买服务等方式，开展失能老年人家庭成员照护培训，符合条件的按规定给予职业培训补贴。通过临近设置设施、服务合作签约、内设医疗机构以及“养老院+互联网医院”等方式，深化医养结合，提供与养老照护需求相适配的医疗卫生服务。重点发展护理型养老机构，“十四五”末养老机构护理型床位占比不低于75%。实施老年认知障碍照护工程，支持养老机构通过新建、改造等方式，设立以收住认知障碍老年人为主的照护专区。开展老年认知障碍友好社区建设，培育专业服务组织和专业人员队伍，加强对认知障碍的早期预防和干预。不断完善长期护理保险政策和经办管理体系，提高老年人长期护理支付能力。</w:t>
      </w:r>
      <w:r>
        <w:rPr>
          <w:rFonts w:hint="eastAsia" w:ascii="方正楷体_GBK" w:hAnsi="方正楷体_GBK" w:eastAsia="方正楷体_GBK" w:cs="方正楷体_GBK"/>
          <w:sz w:val="32"/>
          <w:szCs w:val="32"/>
          <w:lang w:val="en-US" w:eastAsia="zh-CN"/>
        </w:rPr>
        <w:t>〔市民政局、市财政局、市人社局、市卫健委、市医保局等按职责分工负责〕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13.加强残疾老年人养老服务保障。</w:t>
      </w:r>
      <w:r>
        <w:rPr>
          <w:rFonts w:hint="eastAsia" w:ascii="Times New Roman" w:hAnsi="Times New Roman" w:eastAsia="方正仿宋_GBK" w:cs="Times New Roman"/>
          <w:sz w:val="32"/>
          <w:szCs w:val="32"/>
          <w:lang w:val="en-US" w:eastAsia="zh-CN"/>
        </w:rPr>
        <w:t>推动在残疾老年人身份识别、待遇享受、服务递送、无障碍环境建设等方面实现资源整合。持续做好困难残疾人家庭走访探视行动，做好残疾老人康复器材和生活用品发放等工作，为重度行动不便的老年残疾人开展上门评残等工作。完善残疾老年人社会福利制度和优先政策，对经认定符合条件的残疾老年人发放困难残疾人生活补贴和重度残疾人护理补贴。通过“跨省通办”“不来即享”等方式为特殊困难的残疾老年人提供更加便捷的服务。</w:t>
      </w:r>
      <w:r>
        <w:rPr>
          <w:rFonts w:hint="eastAsia" w:ascii="方正楷体_GBK" w:hAnsi="方正楷体_GBK" w:eastAsia="方正楷体_GBK" w:cs="方正楷体_GBK"/>
          <w:sz w:val="32"/>
          <w:szCs w:val="32"/>
          <w:lang w:val="en-US" w:eastAsia="zh-CN"/>
        </w:rPr>
        <w:t>〔市民政局、市残联、市财政局等按职责分工负责〕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（五）强化基本养老服务监管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jc w:val="both"/>
        <w:textAlignment w:val="auto"/>
        <w:rPr>
          <w:rFonts w:hint="default" w:ascii="方正楷体_GBK" w:hAnsi="方正楷体_GBK" w:eastAsia="方正楷体_GBK" w:cs="方正楷体_GBK"/>
          <w:sz w:val="32"/>
          <w:szCs w:val="32"/>
          <w:lang w:val="en-US" w:eastAsia="zh-CN"/>
        </w:rPr>
      </w:pPr>
      <w:r>
        <w:rPr>
          <w:rFonts w:hint="eastAsia" w:ascii="Times New Roman" w:hAnsi="Times New Roman" w:eastAsia="方正仿宋_GBK" w:cs="Times New Roman"/>
          <w:b/>
          <w:bCs/>
          <w:sz w:val="32"/>
          <w:szCs w:val="32"/>
          <w:lang w:val="en-US" w:eastAsia="zh-CN"/>
        </w:rPr>
        <w:t>14.强化服务</w:t>
      </w:r>
      <w:r>
        <w:rPr>
          <w:rFonts w:hint="default" w:ascii="Times New Roman" w:hAnsi="Times New Roman" w:eastAsia="方正仿宋_GBK" w:cs="Times New Roman"/>
          <w:b/>
          <w:bCs/>
          <w:sz w:val="32"/>
          <w:szCs w:val="32"/>
          <w:lang w:val="en-US" w:eastAsia="zh-CN"/>
        </w:rPr>
        <w:t>质量监管。</w:t>
      </w:r>
      <w:r>
        <w:rPr>
          <w:rFonts w:hint="eastAsia" w:ascii="Times New Roman" w:hAnsi="Times New Roman" w:eastAsia="方正仿宋_GBK" w:cs="Times New Roman"/>
          <w:sz w:val="32"/>
          <w:szCs w:val="32"/>
          <w:lang w:val="en-US" w:eastAsia="zh-CN"/>
        </w:rPr>
        <w:t>建立养老服务“双随机、一公开”抽查机制，开展养老服务领域“双随机、一公开”监管。</w:t>
      </w:r>
      <w:r>
        <w:rPr>
          <w:rFonts w:hint="default" w:ascii="Times New Roman" w:hAnsi="Times New Roman" w:eastAsia="方正仿宋_GBK" w:cs="Times New Roman"/>
          <w:sz w:val="32"/>
          <w:szCs w:val="32"/>
          <w:lang w:val="en-US" w:eastAsia="zh-CN"/>
        </w:rPr>
        <w:t>加强机构风险隐患排查，全面落实《养老机构服务安全基本规范》</w:t>
      </w:r>
      <w:r>
        <w:rPr>
          <w:rFonts w:hint="eastAsia" w:ascii="Times New Roman" w:hAnsi="Times New Roman" w:eastAsia="方正仿宋_GBK" w:cs="Times New Roman"/>
          <w:sz w:val="32"/>
          <w:szCs w:val="32"/>
          <w:lang w:val="en-US" w:eastAsia="zh-CN"/>
        </w:rPr>
        <w:t>《养老机构服务质量基本规范》等国家</w:t>
      </w:r>
      <w:r>
        <w:rPr>
          <w:rFonts w:hint="default" w:ascii="Times New Roman" w:hAnsi="Times New Roman" w:eastAsia="方正仿宋_GBK" w:cs="Times New Roman"/>
          <w:sz w:val="32"/>
          <w:szCs w:val="32"/>
          <w:lang w:val="en-US" w:eastAsia="zh-CN"/>
        </w:rPr>
        <w:t>强制标准</w:t>
      </w:r>
      <w:r>
        <w:rPr>
          <w:rFonts w:hint="eastAsia" w:ascii="Times New Roman" w:hAnsi="Times New Roman" w:eastAsia="方正仿宋_GBK" w:cs="Times New Roman"/>
          <w:sz w:val="32"/>
          <w:szCs w:val="32"/>
          <w:lang w:val="en-US" w:eastAsia="zh-CN"/>
        </w:rPr>
        <w:t>。联合相关部门，建立养老服务机构信用体系，根据信用等级</w:t>
      </w:r>
      <w:r>
        <w:rPr>
          <w:rFonts w:hint="eastAsia" w:ascii="Times New Roman" w:hAnsi="Times New Roman" w:eastAsia="方正仿宋_GBK" w:cs="Times New Roman"/>
          <w:sz w:val="32"/>
          <w:szCs w:val="32"/>
          <w:highlight w:val="none"/>
          <w:lang w:val="en-US" w:eastAsia="zh-CN"/>
        </w:rPr>
        <w:t>结果</w:t>
      </w:r>
      <w:r>
        <w:rPr>
          <w:rFonts w:hint="eastAsia" w:ascii="Times New Roman" w:hAnsi="Times New Roman" w:eastAsia="方正仿宋_GBK" w:cs="Times New Roman"/>
          <w:sz w:val="32"/>
          <w:szCs w:val="32"/>
          <w:lang w:val="en-US" w:eastAsia="zh-CN"/>
        </w:rPr>
        <w:t>采取差异化监管措施。</w:t>
      </w:r>
      <w:r>
        <w:rPr>
          <w:rFonts w:hint="default" w:ascii="Times New Roman" w:hAnsi="Times New Roman" w:eastAsia="方正仿宋_GBK" w:cs="Times New Roman"/>
          <w:sz w:val="32"/>
          <w:szCs w:val="32"/>
          <w:lang w:val="en-US" w:eastAsia="zh-CN"/>
        </w:rPr>
        <w:t>推</w:t>
      </w:r>
      <w:r>
        <w:rPr>
          <w:rFonts w:hint="eastAsia" w:ascii="Times New Roman" w:hAnsi="Times New Roman" w:eastAsia="方正仿宋_GBK" w:cs="Times New Roman"/>
          <w:sz w:val="32"/>
          <w:szCs w:val="32"/>
          <w:lang w:val="en-US" w:eastAsia="zh-CN"/>
        </w:rPr>
        <w:t>进</w:t>
      </w:r>
      <w:r>
        <w:rPr>
          <w:rFonts w:hint="default" w:ascii="Times New Roman" w:hAnsi="Times New Roman" w:eastAsia="方正仿宋_GBK" w:cs="Times New Roman"/>
          <w:sz w:val="32"/>
          <w:szCs w:val="32"/>
          <w:lang w:val="en-US" w:eastAsia="zh-CN"/>
        </w:rPr>
        <w:t>养老机构等级评定</w:t>
      </w:r>
      <w:r>
        <w:rPr>
          <w:rFonts w:hint="eastAsia"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lang w:val="en-US" w:eastAsia="zh-CN"/>
        </w:rPr>
        <w:t>，承担政府基本养老服务职能的民办养老机构须达到二级以上养老机构标准。</w:t>
      </w:r>
      <w:r>
        <w:rPr>
          <w:rFonts w:hint="eastAsia" w:ascii="Times New Roman" w:hAnsi="Times New Roman" w:eastAsia="方正仿宋_GBK" w:cs="Times New Roman"/>
          <w:color w:val="auto"/>
          <w:sz w:val="32"/>
          <w:szCs w:val="32"/>
          <w:lang w:val="en-US" w:eastAsia="zh-CN"/>
        </w:rPr>
        <w:t>加强认证技术规范研制、规则研究和标准创新，</w:t>
      </w:r>
      <w:r>
        <w:rPr>
          <w:rFonts w:hint="eastAsia" w:ascii="Times New Roman" w:hAnsi="Times New Roman" w:eastAsia="方正仿宋_GBK" w:cs="Times New Roman"/>
          <w:color w:val="auto"/>
          <w:sz w:val="32"/>
          <w:szCs w:val="32"/>
          <w:u w:val="none"/>
          <w:lang w:val="en-US" w:eastAsia="zh-CN"/>
        </w:rPr>
        <w:t>推动养老服务质量认证。</w:t>
      </w:r>
      <w:r>
        <w:rPr>
          <w:rFonts w:hint="eastAsia" w:ascii="Times New Roman" w:hAnsi="Times New Roman" w:eastAsia="方正仿宋_GBK" w:cs="Times New Roman"/>
          <w:sz w:val="32"/>
          <w:szCs w:val="32"/>
          <w:lang w:val="en-US" w:eastAsia="zh-CN"/>
        </w:rPr>
        <w:t>认真落实养老服务领域疫情防控措施，保障老年人</w:t>
      </w:r>
      <w:r>
        <w:rPr>
          <w:rFonts w:hint="default" w:ascii="Times New Roman" w:hAnsi="Times New Roman" w:eastAsia="方正仿宋_GBK" w:cs="Times New Roman"/>
          <w:sz w:val="32"/>
          <w:szCs w:val="32"/>
          <w:lang w:val="en-US" w:eastAsia="zh-CN"/>
        </w:rPr>
        <w:t>身体健康和生命安全。</w:t>
      </w:r>
      <w:r>
        <w:rPr>
          <w:rFonts w:hint="default"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eastAsia="zh-CN"/>
        </w:rPr>
        <w:t>市</w:t>
      </w:r>
      <w:r>
        <w:rPr>
          <w:rFonts w:hint="default" w:ascii="方正楷体_GBK" w:hAnsi="方正楷体_GBK" w:eastAsia="方正楷体_GBK" w:cs="方正楷体_GBK"/>
          <w:sz w:val="32"/>
          <w:szCs w:val="32"/>
          <w:lang w:val="en-US" w:eastAsia="zh-CN"/>
        </w:rPr>
        <w:t>民政</w:t>
      </w:r>
      <w:r>
        <w:rPr>
          <w:rFonts w:hint="eastAsia" w:ascii="方正楷体_GBK" w:hAnsi="方正楷体_GBK" w:eastAsia="方正楷体_GBK" w:cs="方正楷体_GBK"/>
          <w:sz w:val="32"/>
          <w:szCs w:val="32"/>
          <w:lang w:val="en-US" w:eastAsia="zh-CN"/>
        </w:rPr>
        <w:t>局</w:t>
      </w:r>
      <w:r>
        <w:rPr>
          <w:rFonts w:hint="default"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eastAsia="zh-CN"/>
        </w:rPr>
        <w:t>市发改委、市</w:t>
      </w:r>
      <w:r>
        <w:rPr>
          <w:rFonts w:hint="default" w:ascii="方正楷体_GBK" w:hAnsi="方正楷体_GBK" w:eastAsia="方正楷体_GBK" w:cs="方正楷体_GBK"/>
          <w:sz w:val="32"/>
          <w:szCs w:val="32"/>
          <w:lang w:val="en-US" w:eastAsia="zh-CN"/>
        </w:rPr>
        <w:t>卫健委、</w:t>
      </w:r>
      <w:r>
        <w:rPr>
          <w:rFonts w:hint="eastAsia" w:ascii="方正楷体_GBK" w:hAnsi="方正楷体_GBK" w:eastAsia="方正楷体_GBK" w:cs="方正楷体_GBK"/>
          <w:sz w:val="32"/>
          <w:szCs w:val="32"/>
          <w:lang w:val="en-US" w:eastAsia="zh-CN"/>
        </w:rPr>
        <w:t>市</w:t>
      </w:r>
      <w:r>
        <w:rPr>
          <w:rFonts w:hint="default" w:ascii="方正楷体_GBK" w:hAnsi="方正楷体_GBK" w:eastAsia="方正楷体_GBK" w:cs="方正楷体_GBK"/>
          <w:sz w:val="32"/>
          <w:szCs w:val="32"/>
          <w:lang w:val="en-US" w:eastAsia="zh-CN"/>
        </w:rPr>
        <w:t>市场监管局等按职责分工负责〕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jc w:val="both"/>
        <w:textAlignment w:val="auto"/>
        <w:rPr>
          <w:rFonts w:hint="default" w:ascii="方正楷体_GBK" w:hAnsi="方正楷体_GBK" w:eastAsia="方正楷体_GBK" w:cs="方正楷体_GBK"/>
          <w:sz w:val="32"/>
          <w:szCs w:val="32"/>
          <w:lang w:val="en-US" w:eastAsia="zh-CN"/>
        </w:rPr>
      </w:pPr>
      <w:r>
        <w:rPr>
          <w:rFonts w:hint="eastAsia" w:ascii="Times New Roman" w:hAnsi="Times New Roman" w:eastAsia="方正仿宋_GBK" w:cs="Times New Roman"/>
          <w:b/>
          <w:bCs/>
          <w:sz w:val="32"/>
          <w:szCs w:val="32"/>
          <w:lang w:val="en-US" w:eastAsia="zh-CN"/>
        </w:rPr>
        <w:t>15.强化老年权益保护。</w:t>
      </w:r>
      <w:r>
        <w:rPr>
          <w:rFonts w:hint="eastAsia" w:ascii="Times New Roman" w:hAnsi="Times New Roman" w:eastAsia="方正仿宋_GBK" w:cs="Times New Roman"/>
          <w:sz w:val="32"/>
          <w:szCs w:val="32"/>
          <w:lang w:val="en-US" w:eastAsia="zh-CN"/>
        </w:rPr>
        <w:t>广泛宣传《中华人民共和国老年人权益保障法》，明确子女对老年人的家庭照护责任，弘扬孝亲敬老传统美德。围绕户籍迁移、公共交通、出入景区、法律援助等公共服务需求，健全老年人优待政策体系，提升为老服务能力。完善养老服务市场准入、备案管理、预付费监管、风险预警、社会监督等制度，建立健全打击整治养老诈骗长效机制，维护老年人合法权益。</w:t>
      </w:r>
      <w:r>
        <w:rPr>
          <w:rFonts w:hint="eastAsia" w:ascii="方正楷体_GBK" w:hAnsi="方正楷体_GBK" w:eastAsia="方正楷体_GBK" w:cs="方正楷体_GBK"/>
          <w:sz w:val="32"/>
          <w:szCs w:val="32"/>
          <w:lang w:val="en-US" w:eastAsia="zh-CN"/>
        </w:rPr>
        <w:t>〔市公安局、市民政局、市司法局、市交通局、市文广旅局、市卫健委、市市场监管局、市地方金融监管局等按职责分工负责〕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三、组织保障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（一）加强组织领导。</w:t>
      </w:r>
      <w:r>
        <w:rPr>
          <w:rFonts w:hint="eastAsia" w:ascii="Times New Roman" w:hAnsi="Times New Roman" w:eastAsia="方正仿宋_GBK" w:cs="Times New Roman"/>
          <w:sz w:val="32"/>
          <w:szCs w:val="32"/>
          <w:highlight w:val="none"/>
          <w:lang w:val="en-US" w:eastAsia="zh-CN"/>
        </w:rPr>
        <w:t>各地要高度重视基本养老服务体系建设工作，</w:t>
      </w:r>
      <w:r>
        <w:rPr>
          <w:rFonts w:hint="default" w:ascii="Times New Roman" w:hAnsi="Times New Roman" w:eastAsia="方正仿宋_GBK" w:cs="Times New Roman"/>
          <w:sz w:val="32"/>
          <w:szCs w:val="32"/>
          <w:highlight w:val="none"/>
          <w:lang w:val="en-US" w:eastAsia="zh-CN"/>
        </w:rPr>
        <w:t>发挥党统揽全局、协调各方的领导核心作用，坚持党政主要负责人负总责。各级党委和政府要将基本养老服务体系建设纳入</w:t>
      </w:r>
      <w:r>
        <w:rPr>
          <w:rFonts w:hint="eastAsia" w:ascii="Times New Roman" w:hAnsi="Times New Roman" w:eastAsia="方正仿宋_GBK" w:cs="Times New Roman"/>
          <w:sz w:val="32"/>
          <w:szCs w:val="32"/>
          <w:highlight w:val="none"/>
          <w:lang w:val="en-US" w:eastAsia="zh-CN"/>
        </w:rPr>
        <w:t>当地</w:t>
      </w:r>
      <w:r>
        <w:rPr>
          <w:rFonts w:hint="default" w:ascii="Times New Roman" w:hAnsi="Times New Roman" w:eastAsia="方正仿宋_GBK" w:cs="Times New Roman"/>
          <w:sz w:val="32"/>
          <w:szCs w:val="32"/>
          <w:highlight w:val="none"/>
          <w:lang w:val="en-US" w:eastAsia="zh-CN"/>
        </w:rPr>
        <w:t>经济社会发展规划和重要议事日程</w:t>
      </w:r>
      <w:r>
        <w:rPr>
          <w:rFonts w:hint="eastAsia" w:ascii="Times New Roman" w:hAnsi="Times New Roman" w:eastAsia="方正仿宋_GBK" w:cs="Times New Roman"/>
          <w:sz w:val="32"/>
          <w:szCs w:val="32"/>
          <w:highlight w:val="none"/>
          <w:lang w:val="en-US" w:eastAsia="zh-CN"/>
        </w:rPr>
        <w:t>，确保目标明确到位、任务部署到位、责任落实到位。</w:t>
      </w:r>
      <w:r>
        <w:rPr>
          <w:rFonts w:hint="default" w:ascii="Times New Roman" w:hAnsi="Times New Roman" w:eastAsia="方正仿宋_GBK" w:cs="Times New Roman"/>
          <w:sz w:val="32"/>
          <w:szCs w:val="32"/>
          <w:highlight w:val="none"/>
          <w:lang w:val="en-US" w:eastAsia="zh-CN"/>
        </w:rPr>
        <w:t>要发挥各级养老服务联席会议牵头协调作用，</w:t>
      </w:r>
      <w:r>
        <w:rPr>
          <w:rFonts w:hint="eastAsia" w:ascii="Times New Roman" w:hAnsi="Times New Roman" w:eastAsia="方正仿宋_GBK" w:cs="Times New Roman"/>
          <w:sz w:val="32"/>
          <w:szCs w:val="32"/>
          <w:highlight w:val="none"/>
          <w:lang w:val="en-US" w:eastAsia="zh-CN"/>
        </w:rPr>
        <w:t>研究相关政策措施，加强部门间涉老数据信息共享和政策衔接，推动解决基本养老服务体系建设工作中的重大问题。</w:t>
      </w:r>
      <w:r>
        <w:rPr>
          <w:rFonts w:hint="eastAsia" w:ascii="方正楷体_GBK" w:hAnsi="方正楷体_GBK" w:eastAsia="方正楷体_GBK" w:cs="方正楷体_GBK"/>
          <w:sz w:val="32"/>
          <w:szCs w:val="32"/>
          <w:lang w:val="en-US" w:eastAsia="zh-CN"/>
        </w:rPr>
        <w:t>〔市养老服务联席会议成员单位按职责分工负责〕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highlight w:val="none"/>
          <w:lang w:val="en-US" w:eastAsia="zh-CN"/>
        </w:rPr>
        <w:t>（二）加大资金支持。</w:t>
      </w:r>
      <w:r>
        <w:rPr>
          <w:rFonts w:hint="eastAsia" w:ascii="Times New Roman" w:hAnsi="Times New Roman" w:eastAsia="方正仿宋_GBK" w:cs="Times New Roman"/>
          <w:sz w:val="32"/>
          <w:szCs w:val="32"/>
          <w:highlight w:val="none"/>
          <w:lang w:val="en-US" w:eastAsia="zh-CN"/>
        </w:rPr>
        <w:t>市、县级政府应对照《江苏省基本养老服务指导性目录清单》，建立稳定的基本养老服务财政经费保障机制，明确支出责任。引导财政资金支持农村养老服务软硬件发展，有条件的地区可上浮农村养老机构、养老服务组织运营补贴和农村养老护理员一次性入职奖励标准。</w:t>
      </w:r>
      <w:r>
        <w:rPr>
          <w:rFonts w:hint="eastAsia" w:ascii="方正楷体_GBK" w:hAnsi="方正楷体_GBK" w:eastAsia="方正楷体_GBK" w:cs="方正楷体_GBK"/>
          <w:sz w:val="32"/>
          <w:szCs w:val="32"/>
          <w:lang w:val="en-US" w:eastAsia="zh-CN"/>
        </w:rPr>
        <w:t>〔市财政局、市民政局按职责分工负责〕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jc w:val="both"/>
        <w:textAlignment w:val="auto"/>
        <w:rPr>
          <w:rFonts w:hint="default"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w:t>
      </w:r>
      <w:r>
        <w:rPr>
          <w:rFonts w:hint="default" w:ascii="方正楷体_GBK" w:hAnsi="方正楷体_GBK" w:eastAsia="方正楷体_GBK" w:cs="方正楷体_GBK"/>
          <w:sz w:val="32"/>
          <w:szCs w:val="32"/>
          <w:highlight w:val="none"/>
          <w:lang w:val="en-US" w:eastAsia="zh-CN"/>
        </w:rPr>
        <w:t>强化督促指导。</w:t>
      </w:r>
      <w:r>
        <w:rPr>
          <w:rFonts w:hint="default" w:ascii="Times New Roman" w:hAnsi="Times New Roman" w:eastAsia="方正仿宋_GBK" w:cs="Times New Roman"/>
          <w:sz w:val="32"/>
          <w:szCs w:val="32"/>
          <w:highlight w:val="none"/>
          <w:lang w:val="en-US" w:eastAsia="zh-CN"/>
        </w:rPr>
        <w:t>各级政府要切实履行责任，落实支持政策，加强绩效评价和监督检查。</w:t>
      </w:r>
      <w:r>
        <w:rPr>
          <w:rFonts w:hint="eastAsia" w:ascii="Times New Roman" w:hAnsi="Times New Roman" w:eastAsia="方正仿宋_GBK" w:cs="Times New Roman"/>
          <w:sz w:val="32"/>
          <w:szCs w:val="32"/>
          <w:highlight w:val="none"/>
          <w:lang w:val="en-US" w:eastAsia="zh-CN"/>
        </w:rPr>
        <w:t>将基本养老服务相关内容列入</w:t>
      </w:r>
      <w:r>
        <w:rPr>
          <w:rFonts w:hint="default" w:ascii="Times New Roman" w:hAnsi="Times New Roman" w:eastAsia="方正仿宋_GBK" w:cs="Times New Roman"/>
          <w:sz w:val="32"/>
          <w:szCs w:val="32"/>
          <w:highlight w:val="none"/>
          <w:lang w:val="en-US" w:eastAsia="zh-CN"/>
        </w:rPr>
        <w:t>市</w:t>
      </w:r>
      <w:r>
        <w:rPr>
          <w:rFonts w:hint="eastAsia" w:ascii="Times New Roman" w:hAnsi="Times New Roman" w:eastAsia="方正仿宋_GBK" w:cs="Times New Roman"/>
          <w:sz w:val="32"/>
          <w:szCs w:val="32"/>
          <w:highlight w:val="none"/>
          <w:lang w:val="en-US" w:eastAsia="zh-CN"/>
        </w:rPr>
        <w:t>对</w:t>
      </w:r>
      <w:r>
        <w:rPr>
          <w:rFonts w:hint="default" w:ascii="Times New Roman" w:hAnsi="Times New Roman" w:eastAsia="方正仿宋_GBK" w:cs="Times New Roman"/>
          <w:sz w:val="32"/>
          <w:szCs w:val="32"/>
          <w:highlight w:val="none"/>
          <w:lang w:val="en-US" w:eastAsia="zh-CN"/>
        </w:rPr>
        <w:t>县（市、区）</w:t>
      </w:r>
      <w:r>
        <w:rPr>
          <w:rFonts w:hint="eastAsia" w:ascii="Times New Roman" w:hAnsi="Times New Roman" w:eastAsia="方正仿宋_GBK" w:cs="Times New Roman"/>
          <w:sz w:val="32"/>
          <w:szCs w:val="32"/>
          <w:highlight w:val="none"/>
          <w:lang w:val="en-US" w:eastAsia="zh-CN"/>
        </w:rPr>
        <w:t>高质量考核监测指标。市发改委、市民政局、市卫健委等部门建立健全评价机制，将基本养老服务发展情况纳入积极应对人口老龄化能力评价指标体系。加大对基本养老服务工作的督导检查力度，确保各项基本养老服务政策落到实处。</w:t>
      </w:r>
      <w:r>
        <w:rPr>
          <w:rFonts w:hint="default" w:ascii="Times New Roman" w:hAnsi="Times New Roman" w:eastAsia="方正仿宋_GBK" w:cs="Times New Roman"/>
          <w:sz w:val="32"/>
          <w:szCs w:val="32"/>
          <w:highlight w:val="none"/>
          <w:lang w:val="en-US" w:eastAsia="zh-CN"/>
        </w:rPr>
        <w:t>开展基本养老服务统计监测工作，建立基本养老服务项目统计调查制度，定期发布基本养老服务统计数据。</w:t>
      </w:r>
      <w:r>
        <w:rPr>
          <w:rFonts w:hint="eastAsia" w:ascii="方正楷体_GBK" w:hAnsi="方正楷体_GBK" w:eastAsia="方正楷体_GBK" w:cs="方正楷体_GBK"/>
          <w:sz w:val="32"/>
          <w:szCs w:val="32"/>
          <w:lang w:val="en-US" w:eastAsia="zh-CN"/>
        </w:rPr>
        <w:t>〔市养老服务联席会议成员单位按职责分工负责〕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jc w:val="both"/>
        <w:textAlignment w:val="auto"/>
      </w:pPr>
      <w:r>
        <w:rPr>
          <w:rFonts w:hint="eastAsia" w:ascii="方正楷体_GBK" w:hAnsi="方正楷体_GBK" w:eastAsia="方正楷体_GBK" w:cs="方正楷体_GBK"/>
          <w:sz w:val="32"/>
          <w:szCs w:val="32"/>
          <w:highlight w:val="none"/>
          <w:lang w:val="en-US" w:eastAsia="zh-CN"/>
        </w:rPr>
        <w:t>（四）</w:t>
      </w:r>
      <w:r>
        <w:rPr>
          <w:rFonts w:hint="default" w:ascii="方正楷体_GBK" w:hAnsi="方正楷体_GBK" w:eastAsia="方正楷体_GBK" w:cs="方正楷体_GBK"/>
          <w:sz w:val="32"/>
          <w:szCs w:val="32"/>
          <w:highlight w:val="none"/>
          <w:lang w:val="en-US" w:eastAsia="zh-CN"/>
        </w:rPr>
        <w:t>营造良好氛围。</w:t>
      </w:r>
      <w:r>
        <w:rPr>
          <w:rFonts w:hint="eastAsia" w:ascii="Times New Roman" w:hAnsi="Times New Roman" w:eastAsia="方正仿宋_GBK" w:cs="Times New Roman"/>
          <w:sz w:val="32"/>
          <w:szCs w:val="32"/>
          <w:highlight w:val="none"/>
          <w:lang w:val="en-US" w:eastAsia="zh-CN"/>
        </w:rPr>
        <w:t>各地、各有关部门要主动做好基本养老服务的宣传报道和政策解读，既要关注回应群众呼声，又要合理引导社会预期，畅通意见建议反馈渠道，</w:t>
      </w:r>
      <w:r>
        <w:rPr>
          <w:rFonts w:hint="default" w:ascii="Times New Roman" w:hAnsi="Times New Roman" w:eastAsia="方正仿宋_GBK" w:cs="Times New Roman"/>
          <w:sz w:val="32"/>
          <w:szCs w:val="32"/>
          <w:highlight w:val="none"/>
          <w:lang w:val="en-US" w:eastAsia="zh-CN"/>
        </w:rPr>
        <w:t>广泛凝聚社会共识，充分调动各方面的积极性和主动性。重要改革事项要充分听取意见，提前做好风险评估。</w:t>
      </w:r>
      <w:r>
        <w:rPr>
          <w:rFonts w:hint="default" w:ascii="Times New Roman" w:hAnsi="Times New Roman" w:eastAsia="方正仿宋_GBK" w:cs="Times New Roman"/>
          <w:sz w:val="32"/>
          <w:szCs w:val="32"/>
          <w:lang w:val="en-US" w:eastAsia="zh-CN"/>
        </w:rPr>
        <w:t>加强养老服务人才队伍建设，完善激励褒扬措施，增强职业荣誉感和社会认同感</w:t>
      </w:r>
      <w:r>
        <w:rPr>
          <w:rFonts w:hint="default" w:ascii="Times New Roman" w:hAnsi="Times New Roman" w:eastAsia="方正仿宋_GBK" w:cs="Times New Roman"/>
          <w:sz w:val="32"/>
          <w:szCs w:val="32"/>
          <w:highlight w:val="none"/>
          <w:lang w:val="en-US" w:eastAsia="zh-CN"/>
        </w:rPr>
        <w:t>。</w:t>
      </w:r>
      <w:r>
        <w:rPr>
          <w:rFonts w:hint="eastAsia" w:ascii="方正楷体_GBK" w:hAnsi="方正楷体_GBK" w:eastAsia="方正楷体_GBK" w:cs="方正楷体_GBK"/>
          <w:sz w:val="32"/>
          <w:szCs w:val="32"/>
          <w:lang w:val="en-US" w:eastAsia="zh-CN"/>
        </w:rPr>
        <w:t>〔市养老服务联席会议成员单位按职责分工负责〕</w:t>
      </w:r>
    </w:p>
    <w:sectPr>
      <w:footerReference r:id="rId5" w:type="default"/>
      <w:pgSz w:w="11906" w:h="16839"/>
      <w:pgMar w:top="1814" w:right="1531" w:bottom="1984" w:left="1531" w:header="0" w:footer="147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3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ZjkxODI1NDczY2FlMjc0OGUyYTE3Njg0ZjgyNmQifQ=="/>
  </w:docVars>
  <w:rsids>
    <w:rsidRoot w:val="00000000"/>
    <w:rsid w:val="00773916"/>
    <w:rsid w:val="017442FA"/>
    <w:rsid w:val="02D908B8"/>
    <w:rsid w:val="0336401E"/>
    <w:rsid w:val="066852B7"/>
    <w:rsid w:val="074A27AC"/>
    <w:rsid w:val="07B74F40"/>
    <w:rsid w:val="082C148A"/>
    <w:rsid w:val="089645E3"/>
    <w:rsid w:val="08AE1E9F"/>
    <w:rsid w:val="08E3547F"/>
    <w:rsid w:val="0A8A06EA"/>
    <w:rsid w:val="0B7A075E"/>
    <w:rsid w:val="0BEB340A"/>
    <w:rsid w:val="0C1C35C4"/>
    <w:rsid w:val="0C9C460A"/>
    <w:rsid w:val="10C55FD8"/>
    <w:rsid w:val="110034B4"/>
    <w:rsid w:val="11052878"/>
    <w:rsid w:val="1158509E"/>
    <w:rsid w:val="119500A0"/>
    <w:rsid w:val="12B91B6C"/>
    <w:rsid w:val="12DA1AE3"/>
    <w:rsid w:val="13D11138"/>
    <w:rsid w:val="144C76BE"/>
    <w:rsid w:val="16D76A65"/>
    <w:rsid w:val="18816792"/>
    <w:rsid w:val="18846779"/>
    <w:rsid w:val="18C86FAE"/>
    <w:rsid w:val="19502AFF"/>
    <w:rsid w:val="19F45B80"/>
    <w:rsid w:val="1A7A6085"/>
    <w:rsid w:val="1AB9713F"/>
    <w:rsid w:val="1B2A584C"/>
    <w:rsid w:val="1DB01DBE"/>
    <w:rsid w:val="1DD2442A"/>
    <w:rsid w:val="1F43738D"/>
    <w:rsid w:val="23DA1943"/>
    <w:rsid w:val="248D262D"/>
    <w:rsid w:val="261A696E"/>
    <w:rsid w:val="26AC791C"/>
    <w:rsid w:val="27003DB6"/>
    <w:rsid w:val="28397580"/>
    <w:rsid w:val="28612632"/>
    <w:rsid w:val="29FF2103"/>
    <w:rsid w:val="2AE412F9"/>
    <w:rsid w:val="2D200D0E"/>
    <w:rsid w:val="2D281971"/>
    <w:rsid w:val="2DEA131C"/>
    <w:rsid w:val="2F2A10C0"/>
    <w:rsid w:val="2FB63264"/>
    <w:rsid w:val="300F0BC6"/>
    <w:rsid w:val="302F14C5"/>
    <w:rsid w:val="30503189"/>
    <w:rsid w:val="30FC55EE"/>
    <w:rsid w:val="3146720F"/>
    <w:rsid w:val="319770C5"/>
    <w:rsid w:val="329A2374"/>
    <w:rsid w:val="36100E32"/>
    <w:rsid w:val="37CD1A92"/>
    <w:rsid w:val="37D0094B"/>
    <w:rsid w:val="38926838"/>
    <w:rsid w:val="394958FD"/>
    <w:rsid w:val="39CA3A36"/>
    <w:rsid w:val="3A306308"/>
    <w:rsid w:val="3C667DC0"/>
    <w:rsid w:val="3C6B3628"/>
    <w:rsid w:val="3D7D7AB7"/>
    <w:rsid w:val="3F6820A1"/>
    <w:rsid w:val="41006A35"/>
    <w:rsid w:val="4283791D"/>
    <w:rsid w:val="42D00096"/>
    <w:rsid w:val="44692B43"/>
    <w:rsid w:val="45607DD6"/>
    <w:rsid w:val="45717F01"/>
    <w:rsid w:val="45CE5353"/>
    <w:rsid w:val="45DE30BD"/>
    <w:rsid w:val="478F0B12"/>
    <w:rsid w:val="4D5D520F"/>
    <w:rsid w:val="4D897DB2"/>
    <w:rsid w:val="50594DE2"/>
    <w:rsid w:val="50FD6AED"/>
    <w:rsid w:val="51A83503"/>
    <w:rsid w:val="520024B6"/>
    <w:rsid w:val="5209326F"/>
    <w:rsid w:val="53EE6BC1"/>
    <w:rsid w:val="54F46459"/>
    <w:rsid w:val="57851D54"/>
    <w:rsid w:val="58254B7B"/>
    <w:rsid w:val="58523BC2"/>
    <w:rsid w:val="59284826"/>
    <w:rsid w:val="59FD190B"/>
    <w:rsid w:val="5AA4622B"/>
    <w:rsid w:val="5AEB20AC"/>
    <w:rsid w:val="5CC46711"/>
    <w:rsid w:val="5D4A6FFF"/>
    <w:rsid w:val="5D722610"/>
    <w:rsid w:val="5E7A79CF"/>
    <w:rsid w:val="5E860F9E"/>
    <w:rsid w:val="5F954394"/>
    <w:rsid w:val="5FCC24AC"/>
    <w:rsid w:val="61D90E17"/>
    <w:rsid w:val="61DE0274"/>
    <w:rsid w:val="651A216C"/>
    <w:rsid w:val="654523B9"/>
    <w:rsid w:val="65CD61F8"/>
    <w:rsid w:val="66691570"/>
    <w:rsid w:val="675A65EF"/>
    <w:rsid w:val="692549DB"/>
    <w:rsid w:val="696E52E2"/>
    <w:rsid w:val="6B5B2936"/>
    <w:rsid w:val="6D505D9E"/>
    <w:rsid w:val="6E9A19C7"/>
    <w:rsid w:val="6EC16F54"/>
    <w:rsid w:val="6F765F90"/>
    <w:rsid w:val="6FF9096F"/>
    <w:rsid w:val="70335C2F"/>
    <w:rsid w:val="735F0AE9"/>
    <w:rsid w:val="743106D8"/>
    <w:rsid w:val="754B57C9"/>
    <w:rsid w:val="75D67789"/>
    <w:rsid w:val="75E672A0"/>
    <w:rsid w:val="760065B4"/>
    <w:rsid w:val="76746FA2"/>
    <w:rsid w:val="77606505"/>
    <w:rsid w:val="77A17922"/>
    <w:rsid w:val="780A196C"/>
    <w:rsid w:val="78EE303B"/>
    <w:rsid w:val="7A301431"/>
    <w:rsid w:val="7B3B62E0"/>
    <w:rsid w:val="7BCB7664"/>
    <w:rsid w:val="7CA757A6"/>
    <w:rsid w:val="7D133070"/>
    <w:rsid w:val="7DAE2D99"/>
    <w:rsid w:val="7DEE7639"/>
    <w:rsid w:val="7EF735D3"/>
    <w:rsid w:val="7F1408A0"/>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6554</Words>
  <Characters>6662</Characters>
  <Lines>0</Lines>
  <Paragraphs>0</Paragraphs>
  <TotalTime>44</TotalTime>
  <ScaleCrop>false</ScaleCrop>
  <LinksUpToDate>false</LinksUpToDate>
  <CharactersWithSpaces>6662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2023-04-21T07:36:00Z</dcterms:created>
  <dc:creator>Administrator.PC-20210222PMND</dc:creator>
  <cp:lastModifiedBy>夏天</cp:lastModifiedBy>
  <cp:lastPrinted>2023-08-30T06:56:00Z</cp:lastPrinted>
  <dcterms:modified xsi:type="dcterms:W3CDTF">2023-10-25T02:51:48Z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03EAB1BFE9554FE4B9270F4B76D153D2</vt:lpwstr>
  </property>
</Properties>
</file>