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EDA1">
      <w:pPr>
        <w:spacing w:line="590" w:lineRule="exact"/>
        <w:ind w:firstLine="0" w:firstLineChars="0"/>
        <w:jc w:val="center"/>
        <w:outlineLvl w:val="0"/>
        <w:rPr>
          <w:rFonts w:hint="eastAsia" w:eastAsia="方正小标宋_GBK"/>
          <w:kern w:val="44"/>
          <w:sz w:val="44"/>
          <w:lang w:val="en-US" w:eastAsia="zh-CN"/>
        </w:rPr>
      </w:pPr>
      <w:r>
        <w:rPr>
          <w:rFonts w:hint="eastAsia" w:eastAsia="方正小标宋_GBK"/>
          <w:kern w:val="44"/>
          <w:sz w:val="44"/>
        </w:rPr>
        <w:t>《南通市</w:t>
      </w:r>
      <w:r>
        <w:rPr>
          <w:rFonts w:eastAsia="方正小标宋_GBK"/>
          <w:kern w:val="44"/>
          <w:sz w:val="44"/>
        </w:rPr>
        <w:t>应急管理部门</w:t>
      </w:r>
      <w:r>
        <w:rPr>
          <w:rFonts w:hint="eastAsia" w:eastAsia="方正小标宋_GBK"/>
          <w:kern w:val="44"/>
          <w:sz w:val="44"/>
        </w:rPr>
        <w:t>安全生产行政执法</w:t>
      </w:r>
      <w:r>
        <w:rPr>
          <w:rFonts w:eastAsia="方正小标宋_GBK"/>
          <w:kern w:val="44"/>
          <w:sz w:val="44"/>
        </w:rPr>
        <w:t>不予行政处罚清单</w:t>
      </w:r>
      <w:r>
        <w:rPr>
          <w:rFonts w:hint="eastAsia" w:eastAsia="方正小标宋_GBK"/>
          <w:kern w:val="44"/>
          <w:sz w:val="44"/>
        </w:rPr>
        <w:t>（试行）》（征求意见稿）</w:t>
      </w:r>
    </w:p>
    <w:p w14:paraId="6E1AA1C9">
      <w:pPr>
        <w:spacing w:line="590" w:lineRule="exact"/>
        <w:ind w:firstLine="0" w:firstLineChars="0"/>
        <w:jc w:val="center"/>
        <w:outlineLvl w:val="0"/>
        <w:rPr>
          <w:rFonts w:hint="default" w:eastAsia="方正小标宋_GBK"/>
          <w:kern w:val="44"/>
          <w:sz w:val="44"/>
          <w:lang w:val="en-US" w:eastAsia="zh-CN"/>
        </w:rPr>
      </w:pPr>
    </w:p>
    <w:p w14:paraId="51224580">
      <w:pPr>
        <w:spacing w:line="590" w:lineRule="exact"/>
        <w:ind w:firstLine="640" w:firstLineChars="200"/>
        <w:jc w:val="left"/>
        <w:outlineLvl w:val="0"/>
        <w:rPr>
          <w:kern w:val="2"/>
        </w:rPr>
      </w:pPr>
      <w:r>
        <w:rPr>
          <w:kern w:val="2"/>
        </w:rPr>
        <w:t>为</w:t>
      </w:r>
      <w:r>
        <w:rPr>
          <w:rFonts w:hint="eastAsia"/>
          <w:kern w:val="2"/>
          <w:lang w:val="en-US" w:eastAsia="zh-CN"/>
        </w:rPr>
        <w:t>进一步优化营商环境，提高行政执法效能，</w:t>
      </w:r>
      <w:r>
        <w:rPr>
          <w:rFonts w:hint="eastAsia"/>
          <w:kern w:val="2"/>
        </w:rPr>
        <w:t>在坚守安全发展底线的基础上推进包容审慎监管，</w:t>
      </w:r>
      <w:r>
        <w:rPr>
          <w:rFonts w:hint="eastAsia"/>
          <w:kern w:val="2"/>
          <w:lang w:val="en-US" w:eastAsia="zh-CN"/>
        </w:rPr>
        <w:t>根据</w:t>
      </w:r>
      <w:r>
        <w:rPr>
          <w:kern w:val="2"/>
        </w:rPr>
        <w:t>《中华人民共和国行政处罚法》</w:t>
      </w:r>
      <w:r>
        <w:rPr>
          <w:rFonts w:hint="eastAsia"/>
          <w:kern w:val="2"/>
          <w:lang w:val="en-US" w:eastAsia="zh-CN"/>
        </w:rPr>
        <w:t>《中华人民共和国安全生产法》</w:t>
      </w:r>
      <w:r>
        <w:rPr>
          <w:rFonts w:hint="eastAsia"/>
          <w:kern w:val="2"/>
          <w:lang w:eastAsia="zh-CN"/>
        </w:rPr>
        <w:t>《</w:t>
      </w:r>
      <w:r>
        <w:rPr>
          <w:rFonts w:hint="eastAsia"/>
          <w:kern w:val="2"/>
          <w:lang w:val="en-US" w:eastAsia="zh-CN"/>
        </w:rPr>
        <w:t>国务院关于加强和规范事中事后监管的指导意见</w:t>
      </w:r>
      <w:r>
        <w:rPr>
          <w:rFonts w:hint="eastAsia"/>
          <w:kern w:val="2"/>
          <w:lang w:eastAsia="zh-CN"/>
        </w:rPr>
        <w:t>》</w:t>
      </w:r>
      <w:r>
        <w:rPr>
          <w:kern w:val="2"/>
        </w:rPr>
        <w:t>（国发〔20</w:t>
      </w:r>
      <w:r>
        <w:rPr>
          <w:rFonts w:hint="eastAsia"/>
          <w:kern w:val="2"/>
          <w:lang w:val="en-US" w:eastAsia="zh-CN"/>
        </w:rPr>
        <w:t>19</w:t>
      </w:r>
      <w:r>
        <w:rPr>
          <w:kern w:val="2"/>
        </w:rPr>
        <w:t>〕</w:t>
      </w:r>
      <w:r>
        <w:rPr>
          <w:rFonts w:hint="eastAsia"/>
          <w:kern w:val="2"/>
          <w:lang w:val="en-US" w:eastAsia="zh-CN"/>
        </w:rPr>
        <w:t>18</w:t>
      </w:r>
      <w:r>
        <w:rPr>
          <w:kern w:val="2"/>
        </w:rPr>
        <w:t>号）</w:t>
      </w:r>
      <w:r>
        <w:rPr>
          <w:rFonts w:hint="eastAsia"/>
          <w:kern w:val="2"/>
          <w:lang w:val="en-US" w:eastAsia="zh-CN"/>
        </w:rPr>
        <w:t>《国务院关于进一步规范和监督</w:t>
      </w:r>
      <w:r>
        <w:rPr>
          <w:kern w:val="2"/>
        </w:rPr>
        <w:t>罚款设定与实施的指导意见》（国发〔2024〕5号）</w:t>
      </w:r>
      <w:r>
        <w:rPr>
          <w:rFonts w:hint="eastAsia"/>
          <w:kern w:val="2"/>
          <w:lang w:val="en-US" w:eastAsia="zh-CN"/>
        </w:rPr>
        <w:t>等规定</w:t>
      </w:r>
      <w:r>
        <w:rPr>
          <w:kern w:val="2"/>
        </w:rPr>
        <w:t>，</w:t>
      </w:r>
      <w:r>
        <w:rPr>
          <w:rFonts w:hint="eastAsia"/>
          <w:kern w:val="2"/>
          <w:lang w:val="en-US" w:eastAsia="zh-CN"/>
        </w:rPr>
        <w:t>结合工作实际，制定《南通市</w:t>
      </w:r>
      <w:r>
        <w:rPr>
          <w:kern w:val="2"/>
        </w:rPr>
        <w:t>应急管理部门</w:t>
      </w:r>
      <w:r>
        <w:rPr>
          <w:rFonts w:hint="eastAsia"/>
          <w:kern w:val="2"/>
          <w:lang w:val="en-US" w:eastAsia="zh-CN"/>
        </w:rPr>
        <w:t>安全生产行政执法</w:t>
      </w:r>
      <w:r>
        <w:rPr>
          <w:kern w:val="2"/>
        </w:rPr>
        <w:t>不予行政处罚清单</w:t>
      </w:r>
      <w:r>
        <w:rPr>
          <w:rFonts w:hint="eastAsia"/>
          <w:kern w:val="2"/>
          <w:lang w:eastAsia="zh-CN"/>
        </w:rPr>
        <w:t>（</w:t>
      </w:r>
      <w:r>
        <w:rPr>
          <w:rFonts w:hint="eastAsia"/>
          <w:kern w:val="2"/>
          <w:lang w:val="en-US" w:eastAsia="zh-CN"/>
        </w:rPr>
        <w:t>试行</w:t>
      </w:r>
      <w:r>
        <w:rPr>
          <w:rFonts w:hint="eastAsia"/>
          <w:kern w:val="2"/>
          <w:lang w:eastAsia="zh-CN"/>
        </w:rPr>
        <w:t>）</w:t>
      </w:r>
      <w:r>
        <w:rPr>
          <w:rFonts w:hint="eastAsia"/>
          <w:kern w:val="2"/>
          <w:lang w:val="en-US" w:eastAsia="zh-CN"/>
        </w:rPr>
        <w:t>》</w:t>
      </w:r>
      <w:r>
        <w:rPr>
          <w:rFonts w:hint="eastAsia"/>
          <w:kern w:val="2"/>
          <w:lang w:eastAsia="zh-CN"/>
        </w:rPr>
        <w:t>（</w:t>
      </w:r>
      <w:r>
        <w:rPr>
          <w:rFonts w:hint="eastAsia"/>
          <w:kern w:val="2"/>
          <w:lang w:val="en-US" w:eastAsia="zh-CN"/>
        </w:rPr>
        <w:t>以下简称《</w:t>
      </w:r>
      <w:r>
        <w:rPr>
          <w:kern w:val="2"/>
        </w:rPr>
        <w:t>清单</w:t>
      </w:r>
      <w:r>
        <w:rPr>
          <w:rFonts w:hint="eastAsia"/>
          <w:kern w:val="2"/>
          <w:lang w:val="en-US" w:eastAsia="zh-CN"/>
        </w:rPr>
        <w:t>》</w:t>
      </w:r>
      <w:r>
        <w:rPr>
          <w:rFonts w:hint="eastAsia"/>
          <w:kern w:val="2"/>
          <w:lang w:eastAsia="zh-CN"/>
        </w:rPr>
        <w:t>）</w:t>
      </w:r>
      <w:r>
        <w:rPr>
          <w:kern w:val="2"/>
        </w:rPr>
        <w:t>。</w:t>
      </w:r>
    </w:p>
    <w:p w14:paraId="4A63EF5A">
      <w:pPr>
        <w:spacing w:line="590" w:lineRule="exact"/>
        <w:outlineLvl w:val="1"/>
        <w:rPr>
          <w:rFonts w:eastAsia="方正黑体_GBK"/>
          <w:kern w:val="2"/>
        </w:rPr>
      </w:pPr>
      <w:r>
        <w:rPr>
          <w:rFonts w:eastAsia="方正黑体_GBK"/>
          <w:kern w:val="2"/>
        </w:rPr>
        <w:t>一、适用对象</w:t>
      </w:r>
    </w:p>
    <w:p w14:paraId="2A794900">
      <w:pPr>
        <w:spacing w:line="590" w:lineRule="exact"/>
        <w:ind w:firstLine="640" w:firstLineChars="200"/>
        <w:jc w:val="left"/>
        <w:outlineLvl w:val="0"/>
        <w:rPr>
          <w:rFonts w:hint="eastAsia"/>
          <w:kern w:val="2"/>
          <w:lang w:val="en-US" w:eastAsia="zh-CN"/>
        </w:rPr>
      </w:pPr>
      <w:r>
        <w:rPr>
          <w:rFonts w:hint="eastAsia"/>
          <w:kern w:val="2"/>
          <w:lang w:val="en-US" w:eastAsia="zh-CN"/>
        </w:rPr>
        <w:t>本《</w:t>
      </w:r>
      <w:r>
        <w:rPr>
          <w:kern w:val="2"/>
        </w:rPr>
        <w:t>清单</w:t>
      </w:r>
      <w:r>
        <w:rPr>
          <w:rFonts w:hint="eastAsia"/>
          <w:kern w:val="2"/>
          <w:lang w:val="en-US" w:eastAsia="zh-CN"/>
        </w:rPr>
        <w:t>》适用于全市应急管理系统监管职责范围内3年（周期）无事故一般生产经营单位，具体包括：除矿山、金属冶炼单位和危险化学品的生产、使用、经营、储存、装卸单位，以及粉尘作业场所10人以上的粉尘涉爆、铝加工（深井铸造）生产经营单位以外的其他生产经营单位。</w:t>
      </w:r>
    </w:p>
    <w:p w14:paraId="0F901947">
      <w:pPr>
        <w:numPr>
          <w:ilvl w:val="0"/>
          <w:numId w:val="1"/>
        </w:numPr>
        <w:spacing w:line="590" w:lineRule="exact"/>
        <w:outlineLvl w:val="1"/>
        <w:rPr>
          <w:rFonts w:hint="default" w:eastAsia="方正黑体_GBK"/>
          <w:kern w:val="2"/>
          <w:lang w:val="en-US" w:eastAsia="zh-CN"/>
        </w:rPr>
      </w:pPr>
      <w:r>
        <w:rPr>
          <w:rFonts w:hint="default" w:eastAsia="方正黑体_GBK"/>
          <w:kern w:val="2"/>
          <w:lang w:val="en-US" w:eastAsia="zh-CN"/>
        </w:rPr>
        <w:t>适用条件</w:t>
      </w:r>
    </w:p>
    <w:p w14:paraId="450BEAF4">
      <w:pPr>
        <w:spacing w:line="590" w:lineRule="exact"/>
        <w:ind w:firstLine="640" w:firstLineChars="200"/>
        <w:jc w:val="left"/>
        <w:outlineLvl w:val="0"/>
        <w:rPr>
          <w:rFonts w:hint="eastAsia"/>
          <w:kern w:val="2"/>
          <w:lang w:val="en-US" w:eastAsia="zh-CN"/>
        </w:rPr>
      </w:pPr>
      <w:r>
        <w:rPr>
          <w:rFonts w:hint="eastAsia"/>
          <w:kern w:val="2"/>
          <w:lang w:val="en-US" w:eastAsia="zh-CN"/>
        </w:rPr>
        <w:t>同时具备初次违法、危害后果轻微、及时改正三个要件的，可以不予行政处罚。详见附件。</w:t>
      </w:r>
    </w:p>
    <w:p w14:paraId="0F383395">
      <w:pPr>
        <w:spacing w:line="590" w:lineRule="exact"/>
        <w:ind w:firstLine="640" w:firstLineChars="200"/>
        <w:jc w:val="left"/>
        <w:outlineLvl w:val="0"/>
        <w:rPr>
          <w:rFonts w:hint="default"/>
          <w:kern w:val="2"/>
          <w:lang w:val="en-US" w:eastAsia="zh-CN"/>
        </w:rPr>
      </w:pPr>
      <w:r>
        <w:rPr>
          <w:rFonts w:hint="eastAsia"/>
          <w:kern w:val="2"/>
          <w:lang w:val="en-US" w:eastAsia="zh-CN"/>
        </w:rPr>
        <w:t>《中华人民共和国行政处罚法》第三十三条第一款第二句规定可以不予行政处罚的情形，包含清单但不限于。</w:t>
      </w:r>
    </w:p>
    <w:p w14:paraId="6480B30B">
      <w:pPr>
        <w:spacing w:line="590" w:lineRule="exact"/>
        <w:outlineLvl w:val="1"/>
        <w:rPr>
          <w:rFonts w:hint="eastAsia" w:eastAsia="方正黑体_GBK"/>
          <w:kern w:val="2"/>
          <w:lang w:val="en-US" w:eastAsia="zh-CN"/>
        </w:rPr>
      </w:pPr>
      <w:r>
        <w:rPr>
          <w:rFonts w:hint="eastAsia" w:eastAsia="方正黑体_GBK"/>
          <w:kern w:val="2"/>
          <w:lang w:val="en-US" w:eastAsia="zh-CN"/>
        </w:rPr>
        <w:t>三、其它不予行政处罚的情形</w:t>
      </w:r>
    </w:p>
    <w:p w14:paraId="54A8EFD0">
      <w:pPr>
        <w:spacing w:line="590" w:lineRule="exact"/>
        <w:ind w:firstLine="640" w:firstLineChars="200"/>
        <w:jc w:val="left"/>
        <w:outlineLvl w:val="0"/>
        <w:rPr>
          <w:rFonts w:hint="eastAsia"/>
          <w:kern w:val="2"/>
          <w:lang w:val="en-US" w:eastAsia="zh-CN"/>
        </w:rPr>
      </w:pPr>
      <w:r>
        <w:rPr>
          <w:rFonts w:hint="eastAsia"/>
          <w:kern w:val="2"/>
          <w:lang w:val="en-US" w:eastAsia="zh-CN"/>
        </w:rPr>
        <w:t>（一）不满十四周岁的未成年人有违法行为的，不予行政处罚。精神病人、智力残疾人在不能辨认或者不能控制自己行为时有违法行为的，不予行政处罚。以上当事人因不具备行政违法责任能力而不予行政处罚的，实践中只要符合相应条件即应予认定，对于安全生产领域所有针对个人的违法事项均可适用。</w:t>
      </w:r>
    </w:p>
    <w:p w14:paraId="646AB7AE">
      <w:pPr>
        <w:spacing w:line="590" w:lineRule="exact"/>
        <w:ind w:firstLine="640" w:firstLineChars="200"/>
        <w:jc w:val="left"/>
        <w:outlineLvl w:val="0"/>
        <w:rPr>
          <w:rFonts w:hint="eastAsia"/>
          <w:kern w:val="2"/>
          <w:lang w:val="en-US" w:eastAsia="zh-CN"/>
        </w:rPr>
      </w:pPr>
      <w:r>
        <w:rPr>
          <w:rFonts w:hint="eastAsia"/>
          <w:kern w:val="2"/>
          <w:lang w:val="en-US" w:eastAsia="zh-CN"/>
        </w:rPr>
        <w:t>（二）超过两年法定追责时效，不再给予行政处罚。行政机关对于追责时效没有处分与否的裁量权。发现已超追责时效的违法行为，不得启动或继续行政处罚程序。</w:t>
      </w:r>
    </w:p>
    <w:p w14:paraId="7337291A">
      <w:pPr>
        <w:spacing w:line="590" w:lineRule="exact"/>
        <w:ind w:left="0" w:leftChars="0" w:firstLine="640" w:firstLineChars="0"/>
        <w:jc w:val="left"/>
        <w:outlineLvl w:val="0"/>
        <w:rPr>
          <w:rFonts w:hint="default"/>
          <w:kern w:val="2"/>
          <w:lang w:val="en-US" w:eastAsia="zh-CN"/>
        </w:rPr>
      </w:pPr>
      <w:r>
        <w:rPr>
          <w:rFonts w:hint="eastAsia"/>
          <w:kern w:val="2"/>
          <w:lang w:val="en-US" w:eastAsia="zh-CN"/>
        </w:rPr>
        <w:t>（三）违法行为轻微并及时改正，没有造成危害后果的，不予行政处罚。立法并没有区分行为犯、危险犯、结果犯，上述三项是并列的三个条件，缺一不可。当同时具备时，不构成行政违法。</w:t>
      </w:r>
    </w:p>
    <w:p w14:paraId="1EF3F63C">
      <w:pPr>
        <w:spacing w:line="590" w:lineRule="exact"/>
        <w:jc w:val="left"/>
        <w:outlineLvl w:val="0"/>
        <w:rPr>
          <w:rFonts w:hint="default" w:ascii="Times New Roman" w:hAnsi="Times New Roman" w:cs="Times New Roman"/>
          <w:kern w:val="2"/>
          <w:lang w:val="en-US" w:eastAsia="zh-CN"/>
        </w:rPr>
      </w:pPr>
      <w:r>
        <w:rPr>
          <w:rFonts w:hint="eastAsia"/>
          <w:kern w:val="2"/>
          <w:lang w:val="en-US" w:eastAsia="zh-CN"/>
        </w:rPr>
        <w:t>（四）当事人有证据足以证明没有主观过错的，不予行政处罚。法律、行政法规另有规定的，从其规定。新法施行后产生的法律事实，新法有规定的，适用新法规定。在安全生产领域中，旧有法律从未以当事人存在主观过错作为违法事实成立的前提条件。但相对于</w:t>
      </w:r>
      <w:r>
        <w:rPr>
          <w:rFonts w:hint="eastAsia" w:cs="Times New Roman"/>
          <w:kern w:val="2"/>
          <w:lang w:val="en-US" w:eastAsia="zh-CN"/>
        </w:rPr>
        <w:t>行政法规层级以下处罚事项的行使，执法人员应当充分考虑当事人是否有证据证明其没有主观过错，若不存在主观过错，则不予处罚。</w:t>
      </w:r>
    </w:p>
    <w:p w14:paraId="5A0631DD">
      <w:pPr>
        <w:spacing w:line="590" w:lineRule="exact"/>
        <w:ind w:firstLine="640" w:firstLineChars="200"/>
        <w:jc w:val="left"/>
        <w:outlineLvl w:val="0"/>
        <w:rPr>
          <w:rFonts w:hint="default"/>
          <w:kern w:val="2"/>
          <w:lang w:val="en-US" w:eastAsia="zh-CN"/>
        </w:rPr>
      </w:pPr>
      <w:r>
        <w:rPr>
          <w:rFonts w:hint="eastAsia"/>
          <w:kern w:val="2"/>
          <w:lang w:val="en-US" w:eastAsia="zh-CN"/>
        </w:rPr>
        <w:t>（五）</w:t>
      </w:r>
      <w:r>
        <w:rPr>
          <w:rFonts w:hint="eastAsia" w:cs="Times New Roman"/>
          <w:kern w:val="2"/>
          <w:lang w:val="en-US" w:eastAsia="zh-CN"/>
        </w:rPr>
        <w:t>违法行为轻微，依法可以不予行政处罚的，不予行政处罚。</w:t>
      </w:r>
      <w:r>
        <w:rPr>
          <w:rFonts w:hint="eastAsia"/>
          <w:kern w:val="2"/>
          <w:lang w:val="en-US" w:eastAsia="zh-CN"/>
        </w:rPr>
        <w:t>裁量时，行政机关应充分考量案件事实、纠违态度、合规治理情况等具体裁量因素。待法制审核后，认定当事人满足可以不予处罚情形的，行政机关作出不予行政处罚决定。</w:t>
      </w:r>
    </w:p>
    <w:p w14:paraId="33636D22">
      <w:pPr>
        <w:spacing w:line="590" w:lineRule="exact"/>
        <w:ind w:firstLine="640" w:firstLineChars="200"/>
        <w:jc w:val="left"/>
        <w:outlineLvl w:val="0"/>
        <w:rPr>
          <w:rFonts w:hint="eastAsia"/>
          <w:kern w:val="2"/>
          <w:lang w:val="en-US" w:eastAsia="zh-CN"/>
        </w:rPr>
      </w:pPr>
      <w:r>
        <w:rPr>
          <w:rFonts w:hint="eastAsia"/>
          <w:kern w:val="2"/>
          <w:lang w:val="en-US" w:eastAsia="zh-CN"/>
        </w:rPr>
        <w:t>对有关违法行为作出不予处罚决定的，应当经应急管理部门负责人集体讨论决定。</w:t>
      </w:r>
    </w:p>
    <w:p w14:paraId="3B603B6C">
      <w:pPr>
        <w:spacing w:line="590" w:lineRule="exact"/>
        <w:outlineLvl w:val="1"/>
        <w:rPr>
          <w:rFonts w:hint="default" w:eastAsia="方正黑体_GBK"/>
          <w:kern w:val="2"/>
          <w:lang w:val="en-US" w:eastAsia="zh-CN"/>
        </w:rPr>
      </w:pPr>
      <w:r>
        <w:rPr>
          <w:rFonts w:hint="eastAsia" w:eastAsia="方正黑体_GBK"/>
          <w:kern w:val="2"/>
          <w:lang w:val="en-US" w:eastAsia="zh-CN"/>
        </w:rPr>
        <w:t>四、相关用语含义</w:t>
      </w:r>
    </w:p>
    <w:p w14:paraId="1D20C15E">
      <w:pPr>
        <w:rPr>
          <w:rFonts w:hint="default"/>
          <w:kern w:val="2"/>
          <w:lang w:val="en-US" w:eastAsia="zh-CN"/>
        </w:rPr>
      </w:pPr>
      <w:r>
        <w:rPr>
          <w:rStyle w:val="9"/>
          <w:kern w:val="2"/>
        </w:rPr>
        <w:t>（一）</w:t>
      </w:r>
      <w:r>
        <w:rPr>
          <w:rStyle w:val="9"/>
          <w:rFonts w:hint="eastAsia" w:eastAsia="方正楷体_GBK"/>
          <w:kern w:val="2"/>
          <w:lang w:val="en-US" w:eastAsia="zh-CN"/>
        </w:rPr>
        <w:t>初次</w:t>
      </w:r>
      <w:r>
        <w:rPr>
          <w:rStyle w:val="9"/>
          <w:kern w:val="2"/>
        </w:rPr>
        <w:t>违法。</w:t>
      </w:r>
      <w:r>
        <w:rPr>
          <w:rFonts w:hint="eastAsia"/>
          <w:kern w:val="2"/>
          <w:lang w:val="en-US" w:eastAsia="zh-CN"/>
        </w:rPr>
        <w:t>是指清单印发后2年周期内生产经营单位的某项违法行为第一次被执法机关发现（在江苏省安全生产行政执法系统中未有该方面记录）。</w:t>
      </w:r>
    </w:p>
    <w:p w14:paraId="70C78737">
      <w:pPr>
        <w:pStyle w:val="4"/>
        <w:keepNext w:val="0"/>
        <w:keepLines w:val="0"/>
        <w:widowControl/>
        <w:suppressLineNumbers w:val="0"/>
        <w:ind w:left="0" w:firstLine="640"/>
        <w:rPr>
          <w:rFonts w:hint="default" w:ascii="Times New Roman" w:hAnsi="Times New Roman" w:eastAsia="方正仿宋_GBK" w:cs="Times New Roman"/>
          <w:kern w:val="2"/>
          <w:sz w:val="32"/>
          <w:szCs w:val="32"/>
          <w:lang w:val="en-US" w:eastAsia="zh-CN" w:bidi="ar-SA"/>
        </w:rPr>
      </w:pPr>
      <w:r>
        <w:rPr>
          <w:rStyle w:val="9"/>
          <w:rFonts w:hint="default" w:cs="Times New Roman"/>
          <w:kern w:val="2"/>
          <w:sz w:val="32"/>
          <w:szCs w:val="32"/>
          <w:lang w:val="en-US" w:eastAsia="zh-CN" w:bidi="ar-SA"/>
        </w:rPr>
        <w:t>（二）危害后果轻微。</w:t>
      </w:r>
      <w:r>
        <w:rPr>
          <w:rFonts w:hint="eastAsia" w:ascii="Times New Roman" w:hAnsi="Times New Roman" w:eastAsia="方正仿宋_GBK" w:cs="Times New Roman"/>
          <w:kern w:val="2"/>
          <w:sz w:val="32"/>
          <w:szCs w:val="32"/>
          <w:lang w:val="en-US" w:eastAsia="zh-CN" w:bidi="ar-SA"/>
        </w:rPr>
        <w:t>是指对于行为犯，要求违法行为轻微。对于结果犯，要求违法行为和危害后果同时轻微。</w:t>
      </w:r>
    </w:p>
    <w:p w14:paraId="147A7C41">
      <w:pPr>
        <w:spacing w:line="560" w:lineRule="exact"/>
        <w:ind w:left="0" w:leftChars="0" w:firstLine="640" w:firstLineChars="200"/>
        <w:rPr>
          <w:rFonts w:ascii="Times New Roman" w:hAnsi="Times New Roman" w:eastAsia="方正仿宋_GBK"/>
          <w:color w:val="000000" w:themeColor="text1"/>
          <w:sz w:val="32"/>
          <w:szCs w:val="32"/>
          <w14:textFill>
            <w14:solidFill>
              <w14:schemeClr w14:val="tx1"/>
            </w14:solidFill>
          </w14:textFill>
        </w:rPr>
      </w:pPr>
      <w:r>
        <w:rPr>
          <w:rStyle w:val="9"/>
          <w:rFonts w:hint="default" w:cs="Times New Roman"/>
          <w:kern w:val="2"/>
          <w:sz w:val="32"/>
          <w:szCs w:val="32"/>
          <w:lang w:val="en-US" w:eastAsia="zh-CN" w:bidi="ar-SA"/>
        </w:rPr>
        <w:t>（三）及时改正。</w:t>
      </w:r>
      <w:r>
        <w:rPr>
          <w:rFonts w:hint="eastAsia" w:ascii="Times New Roman" w:hAnsi="Times New Roman"/>
          <w:color w:val="000000" w:themeColor="text1"/>
          <w:sz w:val="32"/>
          <w:szCs w:val="32"/>
          <w:lang w:val="en-US" w:eastAsia="zh-CN"/>
          <w14:textFill>
            <w14:solidFill>
              <w14:schemeClr w14:val="tx1"/>
            </w14:solidFill>
          </w14:textFill>
        </w:rPr>
        <w:t>是指</w:t>
      </w:r>
      <w:r>
        <w:rPr>
          <w:rFonts w:hint="eastAsia"/>
          <w:color w:val="000000" w:themeColor="text1"/>
          <w:sz w:val="32"/>
          <w:szCs w:val="32"/>
          <w:lang w:val="en-US" w:eastAsia="zh-CN"/>
          <w14:textFill>
            <w14:solidFill>
              <w14:schemeClr w14:val="tx1"/>
            </w14:solidFill>
          </w14:textFill>
        </w:rPr>
        <w:t>生产经营单位</w:t>
      </w:r>
      <w:r>
        <w:rPr>
          <w:rFonts w:hint="eastAsia" w:ascii="Times New Roman" w:hAnsi="Times New Roman"/>
          <w:color w:val="000000" w:themeColor="text1"/>
          <w:sz w:val="32"/>
          <w:szCs w:val="32"/>
          <w:lang w:val="en-US" w:eastAsia="zh-CN"/>
          <w14:textFill>
            <w14:solidFill>
              <w14:schemeClr w14:val="tx1"/>
            </w14:solidFill>
          </w14:textFill>
        </w:rPr>
        <w:t>在</w:t>
      </w:r>
      <w:r>
        <w:rPr>
          <w:rFonts w:hint="eastAsia"/>
          <w:color w:val="000000" w:themeColor="text1"/>
          <w:sz w:val="32"/>
          <w:szCs w:val="32"/>
          <w:lang w:val="en-US" w:eastAsia="zh-CN"/>
          <w14:textFill>
            <w14:solidFill>
              <w14:schemeClr w14:val="tx1"/>
            </w14:solidFill>
          </w14:textFill>
        </w:rPr>
        <w:t>行政</w:t>
      </w:r>
      <w:r>
        <w:rPr>
          <w:rFonts w:hint="eastAsia" w:ascii="Times New Roman" w:hAnsi="Times New Roman"/>
          <w:color w:val="000000" w:themeColor="text1"/>
          <w:sz w:val="32"/>
          <w:szCs w:val="32"/>
          <w:lang w:val="en-US" w:eastAsia="zh-CN"/>
          <w14:textFill>
            <w14:solidFill>
              <w14:schemeClr w14:val="tx1"/>
            </w14:solidFill>
          </w14:textFill>
        </w:rPr>
        <w:t>机关检查时已经完成整改或者</w:t>
      </w:r>
      <w:r>
        <w:rPr>
          <w:rFonts w:hint="eastAsia"/>
          <w:color w:val="000000" w:themeColor="text1"/>
          <w:sz w:val="32"/>
          <w:szCs w:val="32"/>
          <w:lang w:val="en-US" w:eastAsia="zh-CN"/>
          <w14:textFill>
            <w14:solidFill>
              <w14:schemeClr w14:val="tx1"/>
            </w14:solidFill>
          </w14:textFill>
        </w:rPr>
        <w:t>已经采取实质性、主要的整改措施</w:t>
      </w:r>
      <w:r>
        <w:rPr>
          <w:rFonts w:hint="eastAsia" w:ascii="Times New Roman" w:hAnsi="Times New Roman"/>
          <w:color w:val="000000" w:themeColor="text1"/>
          <w:sz w:val="32"/>
          <w:szCs w:val="32"/>
          <w:lang w:val="en-US" w:eastAsia="zh-CN"/>
          <w14:textFill>
            <w14:solidFill>
              <w14:schemeClr w14:val="tx1"/>
            </w14:solidFill>
          </w14:textFill>
        </w:rPr>
        <w:t>的情形</w:t>
      </w:r>
      <w:r>
        <w:rPr>
          <w:rFonts w:ascii="Times New Roman" w:hAnsi="Times New Roman" w:eastAsia="方正仿宋_GBK"/>
          <w:color w:val="000000" w:themeColor="text1"/>
          <w:sz w:val="32"/>
          <w:szCs w:val="32"/>
          <w14:textFill>
            <w14:solidFill>
              <w14:schemeClr w14:val="tx1"/>
            </w14:solidFill>
          </w14:textFill>
        </w:rPr>
        <w:t>。</w:t>
      </w:r>
    </w:p>
    <w:p w14:paraId="6669B035">
      <w:pPr>
        <w:spacing w:line="590" w:lineRule="exact"/>
        <w:outlineLvl w:val="1"/>
        <w:rPr>
          <w:rFonts w:eastAsia="方正黑体_GBK"/>
          <w:kern w:val="2"/>
        </w:rPr>
      </w:pPr>
      <w:r>
        <w:rPr>
          <w:rFonts w:hint="eastAsia" w:eastAsia="方正黑体_GBK"/>
          <w:kern w:val="2"/>
          <w:lang w:val="en-US" w:eastAsia="zh-CN"/>
        </w:rPr>
        <w:t>五</w:t>
      </w:r>
      <w:r>
        <w:rPr>
          <w:rFonts w:eastAsia="方正黑体_GBK"/>
          <w:kern w:val="2"/>
        </w:rPr>
        <w:t>、执行程序</w:t>
      </w:r>
    </w:p>
    <w:p w14:paraId="33FFA4BC">
      <w:pPr>
        <w:spacing w:line="590" w:lineRule="exact"/>
        <w:rPr>
          <w:rFonts w:hint="eastAsia" w:eastAsia="方正仿宋_GBK"/>
          <w:kern w:val="2"/>
          <w:lang w:eastAsia="zh-CN"/>
        </w:rPr>
      </w:pPr>
      <w:r>
        <w:rPr>
          <w:rFonts w:hint="eastAsia"/>
          <w:kern w:val="2"/>
        </w:rPr>
        <w:t>对于适用不予行政处罚的，应急管理部门应当坚持处罚与教育并重，严格依据法律程序与处罚权限，充分调查取证，并经集体讨论后作出决定，有关要求如下</w:t>
      </w:r>
      <w:r>
        <w:rPr>
          <w:rFonts w:hint="eastAsia"/>
          <w:kern w:val="2"/>
          <w:lang w:eastAsia="zh-CN"/>
        </w:rPr>
        <w:t>：</w:t>
      </w:r>
    </w:p>
    <w:p w14:paraId="18DE95B7">
      <w:pPr>
        <w:spacing w:line="590" w:lineRule="exact"/>
        <w:rPr>
          <w:kern w:val="2"/>
        </w:rPr>
      </w:pPr>
      <w:r>
        <w:rPr>
          <w:rStyle w:val="9"/>
          <w:kern w:val="2"/>
        </w:rPr>
        <w:t>（一）责令改正。</w:t>
      </w:r>
      <w:r>
        <w:rPr>
          <w:kern w:val="2"/>
        </w:rPr>
        <w:t>监管执法人员完成执法检查后，应当场出具《现场检查记录》，准确记录现场问题并交予当事人，发现存在不予行政处罚的</w:t>
      </w:r>
      <w:r>
        <w:rPr>
          <w:rFonts w:hint="eastAsia"/>
          <w:kern w:val="2"/>
        </w:rPr>
        <w:t>情形</w:t>
      </w:r>
      <w:r>
        <w:rPr>
          <w:kern w:val="2"/>
        </w:rPr>
        <w:t>，</w:t>
      </w:r>
      <w:r>
        <w:rPr>
          <w:rFonts w:hint="eastAsia"/>
          <w:kern w:val="2"/>
          <w:lang w:val="en-US" w:eastAsia="zh-CN"/>
        </w:rPr>
        <w:t>依法当场予以纠正并出具《现场处理措施决定书》或者按照整改时限下达《责令限期整改指令书》。</w:t>
      </w:r>
    </w:p>
    <w:p w14:paraId="39CE5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kern w:val="2"/>
          <w:lang w:val="en-US" w:eastAsia="zh-CN"/>
        </w:rPr>
      </w:pPr>
      <w:r>
        <w:rPr>
          <w:rStyle w:val="9"/>
          <w:kern w:val="2"/>
        </w:rPr>
        <w:t>（二）整改复查。</w:t>
      </w:r>
      <w:r>
        <w:rPr>
          <w:rFonts w:hint="eastAsia"/>
          <w:kern w:val="2"/>
          <w:lang w:val="en-US" w:eastAsia="zh-CN"/>
        </w:rPr>
        <w:t>生产经营单位应当按照规定完成整改，监管执法人员应当按照法律法规标准要求进行复查。</w:t>
      </w:r>
    </w:p>
    <w:p w14:paraId="65B30F5C">
      <w:pPr>
        <w:spacing w:line="590" w:lineRule="exact"/>
        <w:ind w:firstLine="640" w:firstLineChars="200"/>
        <w:rPr>
          <w:rFonts w:hint="eastAsia"/>
          <w:kern w:val="2"/>
          <w:lang w:val="en-US" w:eastAsia="zh-CN"/>
        </w:rPr>
      </w:pPr>
      <w:r>
        <w:rPr>
          <w:rStyle w:val="9"/>
          <w:kern w:val="2"/>
        </w:rPr>
        <w:t>（三）立案调查。</w:t>
      </w:r>
      <w:r>
        <w:rPr>
          <w:rFonts w:hint="eastAsia"/>
          <w:kern w:val="2"/>
          <w:lang w:val="en-US" w:eastAsia="zh-CN"/>
        </w:rPr>
        <w:t>执法人员应当全面、客观、公正的调取相关证据。对于不予处罚、可以不予处罚、依法不予行政处罚、不再给予处罚的适用情形，都应当及时立案，全面、客观、公正调查取证，已经立案的案件，在提交行政处罚案件调查报告时，不仅要附有违法行为的定性证据，还应提供有关不予行政处罚的事实证据。经裁量后，制作行政处罚案件调查报告。</w:t>
      </w:r>
    </w:p>
    <w:p w14:paraId="4FBA2AAA">
      <w:pPr>
        <w:spacing w:line="590" w:lineRule="exact"/>
        <w:rPr>
          <w:rFonts w:hint="eastAsia"/>
          <w:kern w:val="2"/>
          <w:lang w:val="en-US" w:eastAsia="zh-CN"/>
        </w:rPr>
      </w:pPr>
      <w:r>
        <w:rPr>
          <w:rStyle w:val="9"/>
          <w:kern w:val="2"/>
        </w:rPr>
        <w:t>（四）案件审查和决定。</w:t>
      </w:r>
      <w:r>
        <w:rPr>
          <w:rFonts w:hint="eastAsia"/>
          <w:kern w:val="2"/>
          <w:lang w:val="en-US" w:eastAsia="zh-CN"/>
        </w:rPr>
        <w:t>依据调查报告，经法制审核及集体讨论后作出不予行政处罚决定，制作《案件处理呈批表》，提交本单位负责人审核，下达《不予行政处罚决定书》，并及时结案归档。</w:t>
      </w:r>
    </w:p>
    <w:p w14:paraId="6F450FA1">
      <w:pPr>
        <w:spacing w:line="590" w:lineRule="exact"/>
        <w:outlineLvl w:val="1"/>
        <w:rPr>
          <w:rFonts w:eastAsia="方正黑体_GBK"/>
          <w:kern w:val="2"/>
        </w:rPr>
      </w:pPr>
      <w:r>
        <w:rPr>
          <w:rFonts w:hint="eastAsia" w:eastAsia="方正黑体_GBK"/>
          <w:kern w:val="2"/>
          <w:lang w:val="en-US" w:eastAsia="zh-CN"/>
        </w:rPr>
        <w:t>六</w:t>
      </w:r>
      <w:r>
        <w:rPr>
          <w:rFonts w:eastAsia="方正黑体_GBK"/>
          <w:kern w:val="2"/>
        </w:rPr>
        <w:t>、有关要求</w:t>
      </w:r>
    </w:p>
    <w:p w14:paraId="7618C184">
      <w:pPr>
        <w:spacing w:line="56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Style w:val="9"/>
          <w:kern w:val="2"/>
        </w:rPr>
        <w:t>（一）进一步提高思想认识。</w:t>
      </w:r>
      <w:r>
        <w:rPr>
          <w:rFonts w:hint="eastAsia" w:ascii="Times New Roman" w:hAnsi="Times New Roman"/>
          <w:color w:val="000000" w:themeColor="text1"/>
          <w:sz w:val="32"/>
          <w:szCs w:val="32"/>
          <w:lang w:val="en-US" w:eastAsia="zh-CN"/>
          <w14:textFill>
            <w14:solidFill>
              <w14:schemeClr w14:val="tx1"/>
            </w14:solidFill>
          </w14:textFill>
        </w:rPr>
        <w:t>不予处罚</w:t>
      </w:r>
      <w:r>
        <w:rPr>
          <w:rFonts w:ascii="Times New Roman" w:hAnsi="Times New Roman" w:eastAsia="方正仿宋_GBK"/>
          <w:color w:val="000000" w:themeColor="text1"/>
          <w:sz w:val="32"/>
          <w:szCs w:val="32"/>
          <w14:textFill>
            <w14:solidFill>
              <w14:schemeClr w14:val="tx1"/>
            </w14:solidFill>
          </w14:textFill>
        </w:rPr>
        <w:t>清单是依据《行政处罚法》等有关政策法律要求，探索推行包容审慎监管执法的具体举措，是对我市行政处罚自由裁量权的进一步规范，请各县（</w:t>
      </w:r>
      <w:r>
        <w:rPr>
          <w:rFonts w:hint="eastAsia"/>
          <w:color w:val="000000" w:themeColor="text1"/>
          <w:sz w:val="32"/>
          <w:szCs w:val="32"/>
          <w:lang w:val="en-US" w:eastAsia="zh-CN"/>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区）应急局、市局各业务处室和</w:t>
      </w:r>
      <w:r>
        <w:rPr>
          <w:rFonts w:hint="eastAsia" w:ascii="Times New Roman" w:hAnsi="Times New Roman" w:eastAsia="方正仿宋_GBK"/>
          <w:color w:val="000000" w:themeColor="text1"/>
          <w:sz w:val="32"/>
          <w:szCs w:val="32"/>
          <w:lang w:val="en-US" w:eastAsia="zh-CN"/>
          <w14:textFill>
            <w14:solidFill>
              <w14:schemeClr w14:val="tx1"/>
            </w14:solidFill>
          </w14:textFill>
        </w:rPr>
        <w:t>执法</w:t>
      </w:r>
      <w:r>
        <w:rPr>
          <w:rFonts w:hint="eastAsia"/>
          <w:color w:val="000000" w:themeColor="text1"/>
          <w:sz w:val="32"/>
          <w:szCs w:val="32"/>
          <w:lang w:val="en-US" w:eastAsia="zh-CN"/>
          <w14:textFill>
            <w14:solidFill>
              <w14:schemeClr w14:val="tx1"/>
            </w14:solidFill>
          </w14:textFill>
        </w:rPr>
        <w:t>监督</w:t>
      </w:r>
      <w:r>
        <w:rPr>
          <w:rFonts w:hint="eastAsia" w:ascii="Times New Roman" w:hAnsi="Times New Roman" w:eastAsia="方正仿宋_GBK"/>
          <w:color w:val="000000" w:themeColor="text1"/>
          <w:sz w:val="32"/>
          <w:szCs w:val="32"/>
          <w:lang w:val="en-US" w:eastAsia="zh-CN"/>
          <w14:textFill>
            <w14:solidFill>
              <w14:schemeClr w14:val="tx1"/>
            </w14:solidFill>
          </w14:textFill>
        </w:rPr>
        <w:t>局</w:t>
      </w:r>
      <w:r>
        <w:rPr>
          <w:rFonts w:ascii="Times New Roman" w:hAnsi="Times New Roman" w:eastAsia="方正仿宋_GBK"/>
          <w:color w:val="000000" w:themeColor="text1"/>
          <w:sz w:val="32"/>
          <w:szCs w:val="32"/>
          <w14:textFill>
            <w14:solidFill>
              <w14:schemeClr w14:val="tx1"/>
            </w14:solidFill>
          </w14:textFill>
        </w:rPr>
        <w:t>认真组织学习和培训，充分理解适用条件和适用范围，严格把握审查标准，规范适用实施程序，对符合清单规定情形的安全生产违法行为，依法作出不予处罚的决定。</w:t>
      </w:r>
    </w:p>
    <w:p w14:paraId="5CF2E90A">
      <w:pPr>
        <w:spacing w:line="590" w:lineRule="exact"/>
        <w:rPr>
          <w:kern w:val="2"/>
        </w:rPr>
      </w:pPr>
      <w:r>
        <w:rPr>
          <w:rStyle w:val="9"/>
          <w:kern w:val="2"/>
        </w:rPr>
        <w:t>（二）进一步规范执法行为。</w:t>
      </w:r>
      <w:r>
        <w:rPr>
          <w:rFonts w:ascii="Times New Roman" w:hAnsi="Times New Roman" w:eastAsia="方正仿宋_GBK"/>
          <w:color w:val="000000" w:themeColor="text1"/>
          <w:sz w:val="32"/>
          <w:szCs w:val="32"/>
          <w14:textFill>
            <w14:solidFill>
              <w14:schemeClr w14:val="tx1"/>
            </w14:solidFill>
          </w14:textFill>
        </w:rPr>
        <w:t>各县（</w:t>
      </w:r>
      <w:r>
        <w:rPr>
          <w:rFonts w:hint="eastAsia"/>
          <w:color w:val="000000" w:themeColor="text1"/>
          <w:sz w:val="32"/>
          <w:szCs w:val="32"/>
          <w:lang w:val="en-US" w:eastAsia="zh-CN"/>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区）应急局、市局相关处室和</w:t>
      </w:r>
      <w:r>
        <w:rPr>
          <w:rFonts w:hint="eastAsia" w:ascii="Times New Roman" w:hAnsi="Times New Roman"/>
          <w:color w:val="000000" w:themeColor="text1"/>
          <w:sz w:val="32"/>
          <w:szCs w:val="32"/>
          <w:lang w:val="en-US" w:eastAsia="zh-CN"/>
          <w14:textFill>
            <w14:solidFill>
              <w14:schemeClr w14:val="tx1"/>
            </w14:solidFill>
          </w14:textFill>
        </w:rPr>
        <w:t>执法</w:t>
      </w:r>
      <w:r>
        <w:rPr>
          <w:rFonts w:hint="eastAsia"/>
          <w:color w:val="000000" w:themeColor="text1"/>
          <w:sz w:val="32"/>
          <w:szCs w:val="32"/>
          <w:lang w:val="en-US" w:eastAsia="zh-CN"/>
          <w14:textFill>
            <w14:solidFill>
              <w14:schemeClr w14:val="tx1"/>
            </w14:solidFill>
          </w14:textFill>
        </w:rPr>
        <w:t>监督</w:t>
      </w:r>
      <w:r>
        <w:rPr>
          <w:rFonts w:hint="eastAsia" w:ascii="Times New Roman" w:hAnsi="Times New Roman"/>
          <w:color w:val="000000" w:themeColor="text1"/>
          <w:sz w:val="32"/>
          <w:szCs w:val="32"/>
          <w:lang w:val="en-US" w:eastAsia="zh-CN"/>
          <w14:textFill>
            <w14:solidFill>
              <w14:schemeClr w14:val="tx1"/>
            </w14:solidFill>
          </w14:textFill>
        </w:rPr>
        <w:t>局</w:t>
      </w:r>
      <w:r>
        <w:rPr>
          <w:rFonts w:ascii="Times New Roman" w:hAnsi="Times New Roman" w:eastAsia="方正仿宋_GBK"/>
          <w:color w:val="000000" w:themeColor="text1"/>
          <w:sz w:val="32"/>
          <w:szCs w:val="32"/>
          <w14:textFill>
            <w14:solidFill>
              <w14:schemeClr w14:val="tx1"/>
            </w14:solidFill>
          </w14:textFill>
        </w:rPr>
        <w:t>应严格掌握本清单不予处罚的情形，认真按照规定程序对</w:t>
      </w:r>
      <w:r>
        <w:rPr>
          <w:rFonts w:hint="eastAsia" w:ascii="Times New Roman" w:hAnsi="Times New Roman"/>
          <w:color w:val="000000" w:themeColor="text1"/>
          <w:sz w:val="32"/>
          <w:szCs w:val="32"/>
          <w:lang w:val="en-US" w:eastAsia="zh-CN"/>
          <w14:textFill>
            <w14:solidFill>
              <w14:schemeClr w14:val="tx1"/>
            </w14:solidFill>
          </w14:textFill>
        </w:rPr>
        <w:t>不予处罚的</w:t>
      </w:r>
      <w:r>
        <w:rPr>
          <w:rFonts w:ascii="Times New Roman" w:hAnsi="Times New Roman" w:eastAsia="方正仿宋_GBK"/>
          <w:color w:val="000000" w:themeColor="text1"/>
          <w:sz w:val="32"/>
          <w:szCs w:val="32"/>
          <w14:textFill>
            <w14:solidFill>
              <w14:schemeClr w14:val="tx1"/>
            </w14:solidFill>
          </w14:textFill>
        </w:rPr>
        <w:t>违法行为进行调查取证，加强对适用不予处罚案件的审核，切实纠正事实认定不清或程序不合法等不予行政处罚案件。同时，按照“谁执法、谁普法”的要求，</w:t>
      </w:r>
      <w:r>
        <w:rPr>
          <w:kern w:val="2"/>
        </w:rPr>
        <w:t>综合采用劝导示范</w:t>
      </w:r>
      <w:r>
        <w:rPr>
          <w:rFonts w:hint="eastAsia"/>
          <w:kern w:val="2"/>
          <w:lang w:eastAsia="zh-CN"/>
        </w:rPr>
        <w:t>“</w:t>
      </w:r>
      <w:r>
        <w:rPr>
          <w:rFonts w:hint="eastAsia"/>
          <w:kern w:val="2"/>
          <w:lang w:val="en-US" w:eastAsia="zh-CN"/>
        </w:rPr>
        <w:t>一案五制</w:t>
      </w:r>
      <w:r>
        <w:rPr>
          <w:rFonts w:hint="eastAsia"/>
          <w:kern w:val="2"/>
          <w:lang w:eastAsia="zh-CN"/>
        </w:rPr>
        <w:t>”</w:t>
      </w:r>
      <w:r>
        <w:rPr>
          <w:kern w:val="2"/>
        </w:rPr>
        <w:t>等手段，指出</w:t>
      </w:r>
      <w:r>
        <w:rPr>
          <w:rFonts w:hint="eastAsia"/>
          <w:kern w:val="2"/>
          <w:lang w:val="en-US" w:eastAsia="zh-CN"/>
        </w:rPr>
        <w:t>企业</w:t>
      </w:r>
      <w:r>
        <w:rPr>
          <w:kern w:val="2"/>
        </w:rPr>
        <w:t>违法行为的事实、性质、情节、可能造成的危害后果等，引导生产经营单位知法守法、依法经营。</w:t>
      </w:r>
    </w:p>
    <w:p w14:paraId="3B47491A">
      <w:pPr>
        <w:spacing w:line="56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Style w:val="9"/>
          <w:kern w:val="2"/>
        </w:rPr>
        <w:t>（三）进一步严格清单管理。</w:t>
      </w:r>
      <w:r>
        <w:rPr>
          <w:rFonts w:ascii="Times New Roman" w:hAnsi="Times New Roman" w:eastAsia="方正仿宋_GBK"/>
          <w:color w:val="000000" w:themeColor="text1"/>
          <w:sz w:val="32"/>
          <w:szCs w:val="32"/>
          <w14:textFill>
            <w14:solidFill>
              <w14:schemeClr w14:val="tx1"/>
            </w14:solidFill>
          </w14:textFill>
        </w:rPr>
        <w:t>各县（</w:t>
      </w:r>
      <w:r>
        <w:rPr>
          <w:rFonts w:hint="eastAsia"/>
          <w:color w:val="000000" w:themeColor="text1"/>
          <w:sz w:val="32"/>
          <w:szCs w:val="32"/>
          <w:lang w:val="en-US" w:eastAsia="zh-CN"/>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区）应急局</w:t>
      </w:r>
      <w:r>
        <w:rPr>
          <w:kern w:val="2"/>
        </w:rPr>
        <w:t>、</w:t>
      </w:r>
      <w:r>
        <w:rPr>
          <w:rFonts w:ascii="Times New Roman" w:hAnsi="Times New Roman" w:eastAsia="方正仿宋_GBK"/>
          <w:color w:val="000000" w:themeColor="text1"/>
          <w:sz w:val="32"/>
          <w:szCs w:val="32"/>
          <w14:textFill>
            <w14:solidFill>
              <w14:schemeClr w14:val="tx1"/>
            </w14:solidFill>
          </w14:textFill>
        </w:rPr>
        <w:t>市局相关业务处室和</w:t>
      </w:r>
      <w:r>
        <w:rPr>
          <w:rFonts w:hint="eastAsia" w:ascii="Times New Roman" w:hAnsi="Times New Roman"/>
          <w:color w:val="000000" w:themeColor="text1"/>
          <w:sz w:val="32"/>
          <w:szCs w:val="32"/>
          <w:lang w:val="en-US" w:eastAsia="zh-CN"/>
          <w14:textFill>
            <w14:solidFill>
              <w14:schemeClr w14:val="tx1"/>
            </w14:solidFill>
          </w14:textFill>
        </w:rPr>
        <w:t>执法</w:t>
      </w:r>
      <w:r>
        <w:rPr>
          <w:rFonts w:hint="eastAsia"/>
          <w:color w:val="000000" w:themeColor="text1"/>
          <w:sz w:val="32"/>
          <w:szCs w:val="32"/>
          <w:lang w:val="en-US" w:eastAsia="zh-CN"/>
          <w14:textFill>
            <w14:solidFill>
              <w14:schemeClr w14:val="tx1"/>
            </w14:solidFill>
          </w14:textFill>
        </w:rPr>
        <w:t>监督</w:t>
      </w:r>
      <w:r>
        <w:rPr>
          <w:rFonts w:hint="eastAsia" w:ascii="Times New Roman" w:hAnsi="Times New Roman"/>
          <w:color w:val="000000" w:themeColor="text1"/>
          <w:sz w:val="32"/>
          <w:szCs w:val="32"/>
          <w:lang w:val="en-US" w:eastAsia="zh-CN"/>
          <w14:textFill>
            <w14:solidFill>
              <w14:schemeClr w14:val="tx1"/>
            </w14:solidFill>
          </w14:textFill>
        </w:rPr>
        <w:t>局</w:t>
      </w:r>
      <w:r>
        <w:rPr>
          <w:rFonts w:ascii="Times New Roman" w:hAnsi="Times New Roman" w:eastAsia="方正仿宋_GBK"/>
          <w:color w:val="000000" w:themeColor="text1"/>
          <w:sz w:val="32"/>
          <w:szCs w:val="32"/>
          <w14:textFill>
            <w14:solidFill>
              <w14:schemeClr w14:val="tx1"/>
            </w14:solidFill>
          </w14:textFill>
        </w:rPr>
        <w:t>要严格清单管理，对不符合清单规定情形的违法行为要依法作出行政处罚，市局将结合行政执法监督工作对清单的实施情况进行监督检查，对拒不执行或者滥用清单规定的单位和个人，及时予以通报</w:t>
      </w:r>
      <w:r>
        <w:rPr>
          <w:rFonts w:hint="eastAsia" w:ascii="Times New Roman" w:hAnsi="Times New Roman"/>
          <w:color w:val="000000" w:themeColor="text1"/>
          <w:sz w:val="32"/>
          <w:szCs w:val="32"/>
          <w:lang w:val="en-US" w:eastAsia="zh-CN"/>
          <w14:textFill>
            <w14:solidFill>
              <w14:schemeClr w14:val="tx1"/>
            </w14:solidFill>
          </w14:textFill>
        </w:rPr>
        <w:t>并</w:t>
      </w:r>
      <w:r>
        <w:rPr>
          <w:rFonts w:ascii="Times New Roman" w:hAnsi="Times New Roman" w:eastAsia="方正仿宋_GBK"/>
          <w:color w:val="000000" w:themeColor="text1"/>
          <w:sz w:val="32"/>
          <w:szCs w:val="32"/>
          <w14:textFill>
            <w14:solidFill>
              <w14:schemeClr w14:val="tx1"/>
            </w14:solidFill>
          </w14:textFill>
        </w:rPr>
        <w:t>依法追究责任。</w:t>
      </w:r>
    </w:p>
    <w:p w14:paraId="7A70BDC6">
      <w:pPr>
        <w:spacing w:line="560" w:lineRule="exact"/>
        <w:ind w:left="960" w:leftChars="200" w:hanging="320" w:hangingChars="1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本《清单》自2024年 月 日起施行，有效期</w:t>
      </w:r>
      <w:r>
        <w:rPr>
          <w:rFonts w:hint="default" w:ascii="Times New Roman" w:hAnsi="Times New Roman" w:eastAsia="方正仿宋_GBK"/>
          <w:color w:val="000000" w:themeColor="text1"/>
          <w:sz w:val="32"/>
          <w:szCs w:val="32"/>
          <w:lang w:val="en-US" w:eastAsia="zh-CN"/>
          <w14:textFill>
            <w14:solidFill>
              <w14:schemeClr w14:val="tx1"/>
            </w14:solidFill>
          </w14:textFill>
        </w:rPr>
        <w:t>至202</w:t>
      </w:r>
      <w:r>
        <w:rPr>
          <w:rFonts w:hint="eastAsia" w:ascii="Times New Roman" w:hAnsi="Times New Roman" w:eastAsia="方正仿宋_GBK"/>
          <w:color w:val="000000" w:themeColor="text1"/>
          <w:sz w:val="32"/>
          <w:szCs w:val="32"/>
          <w:lang w:val="en-US" w:eastAsia="zh-CN"/>
          <w14:textFill>
            <w14:solidFill>
              <w14:schemeClr w14:val="tx1"/>
            </w14:solidFill>
          </w14:textFill>
        </w:rPr>
        <w:t>6</w:t>
      </w:r>
      <w:r>
        <w:rPr>
          <w:rFonts w:hint="eastAsia"/>
          <w:color w:val="000000" w:themeColor="text1"/>
          <w:sz w:val="32"/>
          <w:szCs w:val="32"/>
          <w:lang w:val="en-US" w:eastAsia="zh-CN"/>
          <w14:textFill>
            <w14:solidFill>
              <w14:schemeClr w14:val="tx1"/>
            </w14:solidFill>
          </w14:textFill>
        </w:rPr>
        <w:t xml:space="preserve">年 月 </w:t>
      </w:r>
      <w:r>
        <w:rPr>
          <w:rFonts w:hint="default" w:ascii="Times New Roman" w:hAnsi="Times New Roman" w:eastAsia="方正仿宋_GBK"/>
          <w:color w:val="000000" w:themeColor="text1"/>
          <w:sz w:val="32"/>
          <w:szCs w:val="32"/>
          <w:lang w:val="en-US" w:eastAsia="zh-CN"/>
          <w14:textFill>
            <w14:solidFill>
              <w14:schemeClr w14:val="tx1"/>
            </w14:solidFill>
          </w14:textFill>
        </w:rPr>
        <w:t>日。</w:t>
      </w:r>
    </w:p>
    <w:p w14:paraId="3AD229A0">
      <w:pPr>
        <w:spacing w:line="560" w:lineRule="exact"/>
        <w:ind w:firstLine="620" w:firstLineChars="200"/>
        <w:rPr>
          <w:rFonts w:hint="eastAsia" w:ascii="Times New Roman" w:hAnsi="Times New Roman"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sz w:val="31"/>
          <w:szCs w:val="31"/>
        </w:rPr>
        <w:t>附件：</w:t>
      </w:r>
      <w:r>
        <w:rPr>
          <w:rFonts w:hint="eastAsia" w:ascii="Times New Roman" w:hAnsi="Times New Roman" w:eastAsia="方正仿宋_GBK"/>
          <w:color w:val="000000" w:themeColor="text1"/>
          <w:sz w:val="32"/>
          <w:szCs w:val="32"/>
          <w:lang w:val="en-US" w:eastAsia="zh-CN"/>
          <w14:textFill>
            <w14:solidFill>
              <w14:schemeClr w14:val="tx1"/>
            </w14:solidFill>
          </w14:textFill>
        </w:rPr>
        <w:t>南通市</w:t>
      </w:r>
      <w:r>
        <w:rPr>
          <w:rFonts w:ascii="Times New Roman" w:hAnsi="Times New Roman" w:eastAsia="方正仿宋_GBK"/>
          <w:color w:val="000000" w:themeColor="text1"/>
          <w:sz w:val="32"/>
          <w:szCs w:val="32"/>
          <w14:textFill>
            <w14:solidFill>
              <w14:schemeClr w14:val="tx1"/>
            </w14:solidFill>
          </w14:textFill>
        </w:rPr>
        <w:t>应急管理部门</w:t>
      </w:r>
      <w:r>
        <w:rPr>
          <w:rFonts w:hint="eastAsia" w:ascii="Times New Roman" w:hAnsi="Times New Roman" w:eastAsia="方正仿宋_GBK"/>
          <w:color w:val="000000" w:themeColor="text1"/>
          <w:sz w:val="32"/>
          <w:szCs w:val="32"/>
          <w:lang w:val="en-US" w:eastAsia="zh-CN"/>
          <w14:textFill>
            <w14:solidFill>
              <w14:schemeClr w14:val="tx1"/>
            </w14:solidFill>
          </w14:textFill>
        </w:rPr>
        <w:t>安全生产行政执法</w:t>
      </w:r>
      <w:r>
        <w:rPr>
          <w:rFonts w:ascii="Times New Roman" w:hAnsi="Times New Roman" w:eastAsia="方正仿宋_GBK"/>
          <w:color w:val="000000" w:themeColor="text1"/>
          <w:sz w:val="32"/>
          <w:szCs w:val="32"/>
          <w14:textFill>
            <w14:solidFill>
              <w14:schemeClr w14:val="tx1"/>
            </w14:solidFill>
          </w14:textFill>
        </w:rPr>
        <w:t>不予行政处罚清单</w:t>
      </w:r>
    </w:p>
    <w:p w14:paraId="6DE700AE">
      <w:pPr>
        <w:spacing w:line="590" w:lineRule="exact"/>
        <w:ind w:firstLine="0" w:firstLineChars="0"/>
        <w:outlineLvl w:val="1"/>
        <w:rPr>
          <w:rFonts w:eastAsia="方正黑体_GBK"/>
          <w:kern w:val="2"/>
        </w:rPr>
      </w:pPr>
    </w:p>
    <w:p w14:paraId="04A36754">
      <w:pPr>
        <w:spacing w:line="590" w:lineRule="exact"/>
        <w:ind w:firstLine="0" w:firstLineChars="0"/>
        <w:outlineLvl w:val="1"/>
        <w:rPr>
          <w:rFonts w:eastAsia="方正黑体_GBK"/>
          <w:kern w:val="2"/>
        </w:rPr>
      </w:pPr>
    </w:p>
    <w:p w14:paraId="0067E41E">
      <w:pPr>
        <w:spacing w:line="590" w:lineRule="exact"/>
        <w:ind w:firstLine="0" w:firstLineChars="0"/>
        <w:outlineLvl w:val="1"/>
        <w:rPr>
          <w:rFonts w:eastAsia="方正黑体_GBK"/>
          <w:kern w:val="2"/>
        </w:rPr>
      </w:pPr>
    </w:p>
    <w:p w14:paraId="441F6729">
      <w:pPr>
        <w:spacing w:line="590" w:lineRule="exact"/>
        <w:ind w:firstLine="0" w:firstLineChars="0"/>
        <w:outlineLvl w:val="1"/>
        <w:rPr>
          <w:rFonts w:eastAsia="方正黑体_GBK"/>
          <w:kern w:val="2"/>
        </w:rPr>
      </w:pPr>
    </w:p>
    <w:p w14:paraId="1A3EDBE3">
      <w:pPr>
        <w:spacing w:line="590" w:lineRule="exact"/>
        <w:ind w:firstLine="0" w:firstLineChars="0"/>
        <w:outlineLvl w:val="1"/>
        <w:rPr>
          <w:rFonts w:eastAsia="方正黑体_GBK"/>
          <w:kern w:val="2"/>
        </w:rPr>
      </w:pPr>
    </w:p>
    <w:p w14:paraId="1140B28F">
      <w:pPr>
        <w:spacing w:line="590" w:lineRule="exact"/>
        <w:ind w:firstLine="0" w:firstLineChars="0"/>
        <w:outlineLvl w:val="1"/>
        <w:rPr>
          <w:rFonts w:eastAsia="方正黑体_GBK"/>
          <w:kern w:val="2"/>
        </w:rPr>
      </w:pPr>
    </w:p>
    <w:p w14:paraId="05CCE350">
      <w:pPr>
        <w:spacing w:line="590" w:lineRule="exact"/>
        <w:ind w:firstLine="0" w:firstLineChars="0"/>
        <w:outlineLvl w:val="1"/>
        <w:rPr>
          <w:rFonts w:eastAsia="方正黑体_GBK"/>
          <w:kern w:val="2"/>
        </w:rPr>
      </w:pPr>
    </w:p>
    <w:p w14:paraId="4B2E006E">
      <w:pPr>
        <w:spacing w:line="590" w:lineRule="exact"/>
        <w:ind w:firstLine="0" w:firstLineChars="0"/>
        <w:outlineLvl w:val="1"/>
        <w:rPr>
          <w:rFonts w:eastAsia="方正黑体_GBK"/>
          <w:kern w:val="2"/>
        </w:rPr>
      </w:pPr>
    </w:p>
    <w:p w14:paraId="719C13AA">
      <w:pPr>
        <w:spacing w:line="590" w:lineRule="exact"/>
        <w:ind w:firstLine="0" w:firstLineChars="0"/>
        <w:outlineLvl w:val="1"/>
        <w:rPr>
          <w:rFonts w:eastAsia="方正黑体_GBK"/>
          <w:kern w:val="2"/>
        </w:rPr>
      </w:pPr>
    </w:p>
    <w:p w14:paraId="478BCF8E">
      <w:pPr>
        <w:spacing w:line="590" w:lineRule="exact"/>
        <w:ind w:firstLine="0" w:firstLineChars="0"/>
        <w:outlineLvl w:val="1"/>
        <w:rPr>
          <w:rFonts w:eastAsia="方正黑体_GBK"/>
          <w:kern w:val="2"/>
        </w:rPr>
      </w:pPr>
    </w:p>
    <w:p w14:paraId="606AB2F2">
      <w:pPr>
        <w:spacing w:line="590" w:lineRule="exact"/>
        <w:ind w:firstLine="0" w:firstLineChars="0"/>
        <w:outlineLvl w:val="1"/>
        <w:rPr>
          <w:rFonts w:eastAsia="方正黑体_GBK"/>
          <w:kern w:val="2"/>
        </w:rPr>
      </w:pPr>
    </w:p>
    <w:p w14:paraId="1750CEB6">
      <w:pPr>
        <w:spacing w:line="590" w:lineRule="exact"/>
        <w:ind w:firstLine="0" w:firstLineChars="0"/>
        <w:outlineLvl w:val="1"/>
        <w:rPr>
          <w:rFonts w:hint="eastAsia" w:eastAsia="方正黑体_GBK"/>
          <w:kern w:val="2"/>
          <w:lang w:val="en-US" w:eastAsia="zh-CN"/>
        </w:rPr>
      </w:pPr>
      <w:bookmarkStart w:id="0" w:name="_GoBack"/>
      <w:bookmarkEnd w:id="0"/>
      <w:r>
        <w:rPr>
          <w:rFonts w:eastAsia="方正黑体_GBK"/>
          <w:kern w:val="2"/>
        </w:rPr>
        <w:t>附件</w:t>
      </w:r>
    </w:p>
    <w:p w14:paraId="0B801FF2">
      <w:pPr>
        <w:spacing w:line="590" w:lineRule="exact"/>
        <w:ind w:firstLine="0" w:firstLineChars="0"/>
        <w:jc w:val="center"/>
        <w:outlineLvl w:val="0"/>
        <w:rPr>
          <w:rFonts w:eastAsia="方正小标宋_GBK"/>
          <w:kern w:val="44"/>
          <w:sz w:val="44"/>
        </w:rPr>
      </w:pPr>
    </w:p>
    <w:p w14:paraId="3CB3CBE1">
      <w:pPr>
        <w:spacing w:line="590" w:lineRule="exact"/>
        <w:ind w:firstLine="0" w:firstLineChars="0"/>
        <w:jc w:val="center"/>
        <w:outlineLvl w:val="0"/>
        <w:rPr>
          <w:rFonts w:hint="eastAsia" w:eastAsia="方正小标宋_GBK"/>
          <w:kern w:val="44"/>
          <w:sz w:val="44"/>
          <w:lang w:val="en-US" w:eastAsia="zh-CN"/>
        </w:rPr>
      </w:pPr>
      <w:r>
        <w:rPr>
          <w:rFonts w:hint="eastAsia" w:eastAsia="方正小标宋_GBK"/>
          <w:kern w:val="44"/>
          <w:sz w:val="44"/>
          <w:lang w:val="en-US" w:eastAsia="zh-CN"/>
        </w:rPr>
        <w:t>南通市</w:t>
      </w:r>
      <w:r>
        <w:rPr>
          <w:rFonts w:eastAsia="方正小标宋_GBK"/>
          <w:kern w:val="44"/>
          <w:sz w:val="44"/>
        </w:rPr>
        <w:t>应急管理部门</w:t>
      </w:r>
      <w:r>
        <w:rPr>
          <w:rFonts w:hint="eastAsia" w:eastAsia="方正小标宋_GBK"/>
          <w:kern w:val="44"/>
          <w:sz w:val="44"/>
          <w:lang w:val="en-US" w:eastAsia="zh-CN"/>
        </w:rPr>
        <w:t>安全生产行政执法</w:t>
      </w:r>
    </w:p>
    <w:p w14:paraId="44225E8C">
      <w:pPr>
        <w:spacing w:line="590" w:lineRule="exact"/>
        <w:ind w:firstLine="0" w:firstLineChars="0"/>
        <w:jc w:val="center"/>
        <w:outlineLvl w:val="0"/>
        <w:rPr>
          <w:rFonts w:eastAsia="方正小标宋_GBK"/>
          <w:kern w:val="44"/>
          <w:sz w:val="44"/>
        </w:rPr>
      </w:pPr>
      <w:r>
        <w:rPr>
          <w:rFonts w:eastAsia="方正小标宋_GBK"/>
          <w:kern w:val="44"/>
          <w:sz w:val="44"/>
        </w:rPr>
        <w:t>不予行政处罚清单</w:t>
      </w:r>
    </w:p>
    <w:p w14:paraId="1FC1CC4D">
      <w:pPr>
        <w:spacing w:line="590" w:lineRule="exact"/>
        <w:outlineLvl w:val="1"/>
        <w:rPr>
          <w:rFonts w:eastAsia="方正黑体_GBK"/>
          <w:kern w:val="2"/>
        </w:rPr>
      </w:pPr>
    </w:p>
    <w:p w14:paraId="7478E8B9">
      <w:pPr>
        <w:spacing w:line="590" w:lineRule="exact"/>
        <w:rPr>
          <w:rFonts w:eastAsia="方正黑体_GBK"/>
          <w:kern w:val="2"/>
        </w:rPr>
      </w:pPr>
      <w:r>
        <w:rPr>
          <w:rFonts w:hint="eastAsia" w:eastAsia="方正黑体_GBK"/>
          <w:kern w:val="2"/>
          <w:lang w:val="en-US" w:eastAsia="zh-CN"/>
        </w:rPr>
        <w:t>1</w:t>
      </w:r>
      <w:r>
        <w:rPr>
          <w:rFonts w:eastAsia="方正黑体_GBK"/>
          <w:kern w:val="2"/>
        </w:rPr>
        <w:t>.工业企业未建立安全风险管控清单。</w:t>
      </w:r>
    </w:p>
    <w:p w14:paraId="7254D5F5">
      <w:pPr>
        <w:spacing w:line="590" w:lineRule="exact"/>
        <w:rPr>
          <w:kern w:val="2"/>
        </w:rPr>
      </w:pPr>
      <w:r>
        <w:rPr>
          <w:rStyle w:val="9"/>
          <w:kern w:val="2"/>
        </w:rPr>
        <w:t>【</w:t>
      </w:r>
      <w:r>
        <w:rPr>
          <w:rStyle w:val="9"/>
          <w:rFonts w:hint="eastAsia" w:eastAsia="方正楷体_GBK"/>
          <w:kern w:val="2"/>
          <w:lang w:val="en-US" w:eastAsia="zh-CN"/>
        </w:rPr>
        <w:t>义务条款及罚则</w:t>
      </w:r>
      <w:r>
        <w:rPr>
          <w:rStyle w:val="9"/>
          <w:kern w:val="2"/>
        </w:rPr>
        <w:t>】</w:t>
      </w:r>
      <w:r>
        <w:rPr>
          <w:kern w:val="2"/>
        </w:rPr>
        <w:t>《江苏省工业企业安全生产风险报告规定》第十二条：企业应当建立安全风险管控清单并持续更新。安全风险管控清单应当列明安全风险名称、所处位置（场所、部位、环节）、可能导致的事故类型及其后果、主要管控措施、管控责任部门和责任人。</w:t>
      </w:r>
    </w:p>
    <w:p w14:paraId="6F3E5B34">
      <w:pPr>
        <w:spacing w:line="590" w:lineRule="exact"/>
        <w:rPr>
          <w:rFonts w:hint="eastAsia"/>
          <w:kern w:val="2"/>
        </w:rPr>
      </w:pPr>
      <w:r>
        <w:rPr>
          <w:kern w:val="2"/>
        </w:rPr>
        <w:t>《江苏省工业企业安全生产风险报告规定》第三十四条：企业违反本规定有下列情形之一的，由负有安全生产监督管理职责的部门责令限期改正，可以处五万元以下的罚款：（二）未建立安全风险管控清单的</w:t>
      </w:r>
      <w:r>
        <w:rPr>
          <w:rFonts w:hint="eastAsia"/>
          <w:kern w:val="2"/>
        </w:rPr>
        <w:t>。</w:t>
      </w:r>
    </w:p>
    <w:p w14:paraId="214D0909">
      <w:pPr>
        <w:spacing w:line="590" w:lineRule="exact"/>
        <w:rPr>
          <w:rFonts w:hint="default" w:eastAsia="方正黑体_GBK"/>
          <w:kern w:val="2"/>
          <w:lang w:val="en-US" w:eastAsia="zh-CN"/>
        </w:rPr>
      </w:pPr>
      <w:r>
        <w:rPr>
          <w:rFonts w:hint="eastAsia"/>
          <w:kern w:val="2"/>
          <w:lang w:val="en-US" w:eastAsia="zh-CN"/>
        </w:rPr>
        <w:t>2.</w:t>
      </w:r>
      <w:r>
        <w:rPr>
          <w:rFonts w:eastAsia="方正黑体_GBK"/>
          <w:kern w:val="2"/>
        </w:rPr>
        <w:t>工业企业拒不按照《江苏省工业企业安全生产风险报告规定》报告较大以上安全风险。</w:t>
      </w:r>
    </w:p>
    <w:p w14:paraId="1E5095BE">
      <w:pPr>
        <w:spacing w:line="590" w:lineRule="exact"/>
        <w:rPr>
          <w:kern w:val="2"/>
        </w:rPr>
      </w:pPr>
      <w:r>
        <w:rPr>
          <w:rStyle w:val="9"/>
          <w:kern w:val="2"/>
        </w:rPr>
        <w:t>【</w:t>
      </w:r>
      <w:r>
        <w:rPr>
          <w:rStyle w:val="9"/>
          <w:rFonts w:hint="eastAsia" w:eastAsia="方正楷体_GBK"/>
          <w:kern w:val="2"/>
          <w:lang w:val="en-US" w:eastAsia="zh-CN"/>
        </w:rPr>
        <w:t>义务条款及罚则</w:t>
      </w:r>
      <w:r>
        <w:rPr>
          <w:rStyle w:val="9"/>
          <w:kern w:val="2"/>
        </w:rPr>
        <w:t>】</w:t>
      </w:r>
      <w:r>
        <w:rPr>
          <w:kern w:val="2"/>
        </w:rPr>
        <w:t>《江苏省工业企业安全生产风险报告规定》第二十条：企业应当落实安全风险报告责任，通过全省统一的安全风险网上报告系统定期报告较大以上安全风险，接受负有安全生产监督管理职责的部门的管理。</w:t>
      </w:r>
    </w:p>
    <w:p w14:paraId="0FA9364A">
      <w:pPr>
        <w:spacing w:line="590" w:lineRule="exact"/>
        <w:rPr>
          <w:kern w:val="2"/>
        </w:rPr>
      </w:pPr>
      <w:r>
        <w:rPr>
          <w:kern w:val="2"/>
        </w:rPr>
        <w:t>负有安全生产监督管理职责的部门应当督促企业按期、如实报告较大以上安全风险。</w:t>
      </w:r>
    </w:p>
    <w:p w14:paraId="5F46F6A7">
      <w:pPr>
        <w:spacing w:line="590" w:lineRule="exact"/>
        <w:rPr>
          <w:kern w:val="2"/>
        </w:rPr>
      </w:pPr>
      <w:r>
        <w:rPr>
          <w:rFonts w:hint="eastAsia"/>
          <w:kern w:val="2"/>
        </w:rPr>
        <w:t>第二十二条：企业应当于每年第一季度完成安全风险定期报告。新建企业应当在建设项目竣工验收合格后三十日内完成首次安全风险报告，涉及危险化学品建设项目的，在试生产前完成报告。</w:t>
      </w:r>
    </w:p>
    <w:p w14:paraId="1E800B09">
      <w:pPr>
        <w:spacing w:line="590" w:lineRule="exact"/>
        <w:rPr>
          <w:kern w:val="2"/>
        </w:rPr>
      </w:pPr>
      <w:r>
        <w:rPr>
          <w:rFonts w:hint="eastAsia"/>
          <w:kern w:val="2"/>
        </w:rPr>
        <w:t>第二十三条：企业按照木规定第十条开展安全风险辨识，有下列情形之一的，应当在确定或者调整安全风险等级后十五日内进行变更报告:</w:t>
      </w:r>
    </w:p>
    <w:p w14:paraId="54E7F987">
      <w:pPr>
        <w:spacing w:line="590" w:lineRule="exact"/>
        <w:rPr>
          <w:kern w:val="2"/>
        </w:rPr>
      </w:pPr>
      <w:r>
        <w:rPr>
          <w:rFonts w:hint="eastAsia"/>
          <w:kern w:val="2"/>
        </w:rPr>
        <w:t>(一)有新的较大以上安全风险的；</w:t>
      </w:r>
    </w:p>
    <w:p w14:paraId="5F3E1B77">
      <w:pPr>
        <w:spacing w:line="590" w:lineRule="exact"/>
        <w:rPr>
          <w:kern w:val="2"/>
        </w:rPr>
      </w:pPr>
      <w:r>
        <w:rPr>
          <w:rFonts w:hint="eastAsia"/>
          <w:kern w:val="2"/>
        </w:rPr>
        <w:t>(二)原报告的较大以上安全风险等级发生变化的。</w:t>
      </w:r>
    </w:p>
    <w:p w14:paraId="48DB7C5B">
      <w:pPr>
        <w:spacing w:line="590" w:lineRule="exact"/>
        <w:rPr>
          <w:rFonts w:hint="eastAsia"/>
          <w:kern w:val="2"/>
        </w:rPr>
      </w:pPr>
      <w:r>
        <w:rPr>
          <w:rFonts w:hint="eastAsia"/>
          <w:kern w:val="2"/>
        </w:rPr>
        <w:t>企业名称、主要负责人等基本信息发生变化的，应当在发生变化后十五日内进行变更报告。</w:t>
      </w:r>
    </w:p>
    <w:p w14:paraId="1D65F8BC">
      <w:pPr>
        <w:spacing w:line="590" w:lineRule="exact"/>
        <w:rPr>
          <w:kern w:val="2"/>
        </w:rPr>
      </w:pPr>
      <w:r>
        <w:rPr>
          <w:kern w:val="2"/>
        </w:rPr>
        <w:t>《江苏省工业企业安全生产风险报告规定》第三十五条：企业拒不按照本规定报告较大以上安全风险的，负有安全生产监督管理职责的部门可以处二万元以上五万元以下的罚款，对主要负责人、有关责任人员可以处一万元以上二万元以下的罚款。</w:t>
      </w:r>
    </w:p>
    <w:p w14:paraId="4D4C886F">
      <w:pPr>
        <w:spacing w:line="590" w:lineRule="exact"/>
        <w:rPr>
          <w:rFonts w:hint="default" w:eastAsia="方正黑体_GBK"/>
          <w:kern w:val="2"/>
          <w:lang w:val="en-US" w:eastAsia="zh-CN"/>
        </w:rPr>
      </w:pPr>
      <w:r>
        <w:rPr>
          <w:rFonts w:hint="eastAsia"/>
          <w:kern w:val="2"/>
          <w:lang w:val="en-US" w:eastAsia="zh-CN"/>
        </w:rPr>
        <w:t>3.</w:t>
      </w:r>
      <w:r>
        <w:rPr>
          <w:rFonts w:hint="eastAsia" w:eastAsia="方正黑体_GBK"/>
          <w:kern w:val="2"/>
          <w:lang w:val="en-US" w:eastAsia="zh-CN"/>
        </w:rPr>
        <w:t>生产经营单位未按照规定报告重大事故隐患排查治理情况。</w:t>
      </w:r>
    </w:p>
    <w:p w14:paraId="54ABA722">
      <w:pPr>
        <w:spacing w:line="590" w:lineRule="exact"/>
        <w:rPr>
          <w:rFonts w:hint="eastAsia"/>
          <w:kern w:val="2"/>
          <w:lang w:eastAsia="zh-CN"/>
        </w:rPr>
      </w:pPr>
      <w:r>
        <w:rPr>
          <w:rStyle w:val="9"/>
          <w:kern w:val="2"/>
        </w:rPr>
        <w:t>【</w:t>
      </w:r>
      <w:r>
        <w:rPr>
          <w:rStyle w:val="9"/>
          <w:rFonts w:hint="eastAsia" w:eastAsia="方正楷体_GBK"/>
          <w:kern w:val="2"/>
          <w:lang w:val="en-US" w:eastAsia="zh-CN"/>
        </w:rPr>
        <w:t>义务条款及罚则</w:t>
      </w:r>
      <w:r>
        <w:rPr>
          <w:rStyle w:val="9"/>
          <w:kern w:val="2"/>
        </w:rPr>
        <w:t>】</w:t>
      </w:r>
      <w:r>
        <w:rPr>
          <w:rFonts w:hint="eastAsia"/>
          <w:kern w:val="2"/>
        </w:rPr>
        <w:t>《安全生产事故隐患排查治理暂行规定》第十四条：对于重大事故隐患，生产经营单位除依照前款规定报送外，应当及时向安全监管监察部门和有关部门报告。重大事故隐患报告内容应当包括：</w:t>
      </w:r>
    </w:p>
    <w:p w14:paraId="2AED5CEA">
      <w:pPr>
        <w:spacing w:line="590" w:lineRule="exact"/>
        <w:ind w:left="0" w:leftChars="0" w:firstLine="640" w:firstLineChars="200"/>
        <w:rPr>
          <w:rFonts w:hint="eastAsia"/>
          <w:kern w:val="2"/>
        </w:rPr>
      </w:pPr>
      <w:r>
        <w:rPr>
          <w:rFonts w:hint="eastAsia"/>
          <w:kern w:val="2"/>
        </w:rPr>
        <w:t>㈠隐患的现状及其产生原因；</w:t>
      </w:r>
    </w:p>
    <w:p w14:paraId="547066C7">
      <w:pPr>
        <w:spacing w:line="590" w:lineRule="exact"/>
        <w:ind w:left="0" w:leftChars="0" w:firstLine="640" w:firstLineChars="200"/>
        <w:rPr>
          <w:rFonts w:hint="eastAsia"/>
          <w:kern w:val="2"/>
        </w:rPr>
      </w:pPr>
      <w:r>
        <w:rPr>
          <w:rFonts w:hint="eastAsia"/>
          <w:kern w:val="2"/>
        </w:rPr>
        <w:t>㈡隐患的危害程度和整改难易程度分析；</w:t>
      </w:r>
    </w:p>
    <w:p w14:paraId="1E855A42">
      <w:pPr>
        <w:spacing w:line="590" w:lineRule="exact"/>
        <w:ind w:left="0" w:leftChars="0" w:firstLine="640" w:firstLineChars="200"/>
        <w:rPr>
          <w:rFonts w:hint="eastAsia"/>
          <w:kern w:val="2"/>
        </w:rPr>
      </w:pPr>
      <w:r>
        <w:rPr>
          <w:rFonts w:hint="eastAsia"/>
          <w:kern w:val="2"/>
        </w:rPr>
        <w:t>㈢隐患的治理方案。</w:t>
      </w:r>
    </w:p>
    <w:p w14:paraId="3A23036C">
      <w:pPr>
        <w:spacing w:line="590" w:lineRule="exact"/>
        <w:rPr>
          <w:rFonts w:hint="eastAsia"/>
          <w:kern w:val="2"/>
        </w:rPr>
      </w:pPr>
      <w:r>
        <w:rPr>
          <w:rFonts w:hint="eastAsia"/>
          <w:kern w:val="2"/>
        </w:rPr>
        <w:t>《安全生产事故隐患排查治理暂行规定》第二十六条：生产经营单位违反本规定，有下列行为之一的，由安全监管监察部门给予警告，并处三万元以下的罚款：</w:t>
      </w:r>
    </w:p>
    <w:p w14:paraId="4038F18C">
      <w:pPr>
        <w:spacing w:line="590" w:lineRule="exact"/>
        <w:rPr>
          <w:rFonts w:hint="eastAsia"/>
          <w:kern w:val="2"/>
        </w:rPr>
      </w:pPr>
      <w:r>
        <w:rPr>
          <w:rFonts w:hint="eastAsia"/>
          <w:kern w:val="2"/>
        </w:rPr>
        <w:t>㈣重大事故隐患不报或者未及时报告的。</w:t>
      </w:r>
    </w:p>
    <w:p w14:paraId="122DE31A">
      <w:pPr>
        <w:spacing w:line="590" w:lineRule="exact"/>
        <w:rPr>
          <w:rFonts w:hint="default" w:eastAsia="方正黑体_GBK"/>
          <w:kern w:val="2"/>
          <w:lang w:val="en-US" w:eastAsia="zh-CN"/>
        </w:rPr>
      </w:pPr>
      <w:r>
        <w:rPr>
          <w:rFonts w:hint="eastAsia"/>
          <w:kern w:val="2"/>
          <w:lang w:val="en-US" w:eastAsia="zh-CN"/>
        </w:rPr>
        <w:t>4.</w:t>
      </w:r>
      <w:r>
        <w:rPr>
          <w:rFonts w:hint="eastAsia" w:eastAsia="方正黑体_GBK"/>
          <w:kern w:val="2"/>
          <w:lang w:val="en-US" w:eastAsia="zh-CN"/>
        </w:rPr>
        <w:t>生产经营单位与从业人员签订协议，免除或者减轻其对从业人员因生产安全事故伤亡依法应承担的责任。</w:t>
      </w:r>
    </w:p>
    <w:p w14:paraId="3D929D48">
      <w:pPr>
        <w:spacing w:line="590" w:lineRule="exact"/>
        <w:rPr>
          <w:rFonts w:hint="eastAsia"/>
          <w:kern w:val="2"/>
          <w:lang w:eastAsia="zh-CN"/>
        </w:rPr>
      </w:pPr>
      <w:r>
        <w:rPr>
          <w:rStyle w:val="9"/>
          <w:kern w:val="2"/>
        </w:rPr>
        <w:t>【</w:t>
      </w:r>
      <w:r>
        <w:rPr>
          <w:rStyle w:val="9"/>
          <w:rFonts w:hint="eastAsia" w:eastAsia="方正楷体_GBK"/>
          <w:kern w:val="2"/>
          <w:lang w:val="en-US" w:eastAsia="zh-CN"/>
        </w:rPr>
        <w:t>义务条款及罚则</w:t>
      </w:r>
      <w:r>
        <w:rPr>
          <w:rStyle w:val="9"/>
          <w:kern w:val="2"/>
        </w:rPr>
        <w:t>】</w:t>
      </w:r>
      <w:r>
        <w:rPr>
          <w:rFonts w:hint="eastAsia"/>
          <w:kern w:val="2"/>
        </w:rPr>
        <w:t>《</w:t>
      </w:r>
      <w:r>
        <w:rPr>
          <w:rFonts w:hint="eastAsia"/>
          <w:kern w:val="2"/>
          <w:lang w:val="en-US" w:eastAsia="zh-CN"/>
        </w:rPr>
        <w:t>中华人民共和国安全生产法</w:t>
      </w:r>
      <w:r>
        <w:rPr>
          <w:rFonts w:hint="eastAsia"/>
          <w:kern w:val="2"/>
        </w:rPr>
        <w:t>》第</w:t>
      </w:r>
      <w:r>
        <w:rPr>
          <w:rFonts w:hint="eastAsia"/>
          <w:kern w:val="2"/>
          <w:lang w:val="en-US" w:eastAsia="zh-CN"/>
        </w:rPr>
        <w:t>五十二条第二款</w:t>
      </w:r>
      <w:r>
        <w:rPr>
          <w:rFonts w:hint="eastAsia"/>
          <w:kern w:val="2"/>
        </w:rPr>
        <w:t>：生产经营单位不得以任何形式与从业人员订立协议，免除或者减轻其对从业人员因生产安全事故伤亡依法应承担的责任。</w:t>
      </w:r>
    </w:p>
    <w:p w14:paraId="2D2F714E">
      <w:pPr>
        <w:spacing w:line="590" w:lineRule="exact"/>
        <w:rPr>
          <w:rFonts w:hint="eastAsia"/>
          <w:kern w:val="2"/>
        </w:rPr>
      </w:pPr>
      <w:r>
        <w:rPr>
          <w:rFonts w:hint="eastAsia"/>
          <w:kern w:val="2"/>
        </w:rPr>
        <w:t>《</w:t>
      </w:r>
      <w:r>
        <w:rPr>
          <w:rFonts w:hint="eastAsia"/>
          <w:kern w:val="2"/>
          <w:lang w:val="en-US" w:eastAsia="zh-CN"/>
        </w:rPr>
        <w:t>中华人民共和国安全生产法</w:t>
      </w:r>
      <w:r>
        <w:rPr>
          <w:rFonts w:hint="eastAsia"/>
          <w:kern w:val="2"/>
        </w:rPr>
        <w:t>》第</w:t>
      </w:r>
      <w:r>
        <w:rPr>
          <w:rFonts w:hint="eastAsia"/>
          <w:kern w:val="2"/>
          <w:lang w:val="en-US" w:eastAsia="zh-CN"/>
        </w:rPr>
        <w:t>一百零六</w:t>
      </w:r>
      <w:r>
        <w:rPr>
          <w:rFonts w:hint="eastAsia"/>
          <w:kern w:val="2"/>
        </w:rPr>
        <w:t>条：生产经营单位与从业人员订立协议，免除或者减轻其对从业人员因生产安全事故伤亡依法应承担的责任的，该协议无效；对生产经营单位的主要负责人、个人经营的投资人处二万元以上十万元以下的罚款。</w:t>
      </w:r>
    </w:p>
    <w:p w14:paraId="1E18537B">
      <w:pPr>
        <w:spacing w:line="590" w:lineRule="exact"/>
        <w:rPr>
          <w:rFonts w:hint="default" w:eastAsia="方正黑体_GBK"/>
          <w:kern w:val="2"/>
          <w:lang w:val="en-US" w:eastAsia="zh-CN"/>
        </w:rPr>
      </w:pPr>
      <w:r>
        <w:rPr>
          <w:rFonts w:hint="eastAsia"/>
          <w:kern w:val="2"/>
          <w:lang w:val="en-US" w:eastAsia="zh-CN"/>
        </w:rPr>
        <w:t>5.</w:t>
      </w:r>
      <w:r>
        <w:rPr>
          <w:rFonts w:hint="eastAsia" w:eastAsia="方正黑体_GBK"/>
          <w:kern w:val="2"/>
          <w:lang w:val="en-US" w:eastAsia="zh-CN"/>
        </w:rPr>
        <w:t>烟花爆竹零售经营者到批发企业仓库自行提取烟花爆竹的。</w:t>
      </w:r>
    </w:p>
    <w:p w14:paraId="70C5353C">
      <w:pPr>
        <w:spacing w:line="590" w:lineRule="exact"/>
        <w:rPr>
          <w:rFonts w:hint="eastAsia" w:ascii="仿宋" w:hAnsi="仿宋" w:eastAsia="仿宋" w:cs="仿宋"/>
          <w:i w:val="0"/>
          <w:iCs w:val="0"/>
          <w:caps w:val="0"/>
          <w:color w:val="333333"/>
          <w:spacing w:val="0"/>
          <w:sz w:val="32"/>
          <w:szCs w:val="32"/>
          <w:shd w:val="clear" w:fill="FFFFFF"/>
        </w:rPr>
      </w:pPr>
      <w:r>
        <w:rPr>
          <w:rStyle w:val="9"/>
          <w:rFonts w:hint="eastAsia"/>
          <w:kern w:val="2"/>
        </w:rPr>
        <w:t>【</w:t>
      </w:r>
      <w:r>
        <w:rPr>
          <w:rStyle w:val="9"/>
          <w:rFonts w:hint="eastAsia"/>
          <w:kern w:val="2"/>
          <w:lang w:val="en-US" w:eastAsia="zh-CN"/>
        </w:rPr>
        <w:t>义务条款及罚则</w:t>
      </w:r>
      <w:r>
        <w:rPr>
          <w:rStyle w:val="9"/>
          <w:rFonts w:hint="eastAsia"/>
          <w:kern w:val="2"/>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烟花爆竹生产经营安全规定</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原国家安全监管总局令第93号</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rPr>
        <w:t>零售经营者应当向批发企业采购烟花爆竹并接受批发企业配送服务，不得到企业仓库自行提取烟花爆竹。</w:t>
      </w:r>
    </w:p>
    <w:p w14:paraId="3E54D48E">
      <w:pPr>
        <w:spacing w:line="590" w:lineRule="exac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烟花爆竹生产经营安全规定</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原国家安全监管总局令第93号</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第</w:t>
      </w:r>
      <w:r>
        <w:rPr>
          <w:rFonts w:hint="eastAsia" w:ascii="仿宋" w:hAnsi="仿宋" w:eastAsia="仿宋" w:cs="仿宋"/>
          <w:i w:val="0"/>
          <w:iCs w:val="0"/>
          <w:caps w:val="0"/>
          <w:color w:val="333333"/>
          <w:spacing w:val="0"/>
          <w:sz w:val="32"/>
          <w:szCs w:val="32"/>
          <w:shd w:val="clear" w:fill="FFFFFF"/>
          <w:lang w:val="en-US" w:eastAsia="zh-CN"/>
        </w:rPr>
        <w:t>三十六条第（二）项</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零售经营者有下列行为之一的，责令其限期改正，可以处一千元以上五千元以下的罚款；逾期未改正的，处五千元以上一万元以下的罚款：</w:t>
      </w:r>
    </w:p>
    <w:p w14:paraId="06E668A8">
      <w:pPr>
        <w:spacing w:line="590" w:lineRule="exac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（二）到批发企业仓库自行提取烟花爆竹的</w:t>
      </w:r>
    </w:p>
    <w:p w14:paraId="6C7983CD">
      <w:pPr>
        <w:spacing w:line="590" w:lineRule="exact"/>
        <w:rPr>
          <w:rFonts w:hint="default" w:eastAsia="方正黑体_GBK"/>
          <w:kern w:val="2"/>
          <w:lang w:val="en-US" w:eastAsia="zh-CN"/>
        </w:rPr>
      </w:pPr>
      <w:r>
        <w:rPr>
          <w:rFonts w:hint="eastAsia"/>
          <w:kern w:val="2"/>
          <w:lang w:val="en-US" w:eastAsia="zh-CN"/>
        </w:rPr>
        <w:t>6.</w:t>
      </w:r>
      <w:r>
        <w:rPr>
          <w:rFonts w:hint="eastAsia" w:eastAsia="方正黑体_GBK"/>
          <w:kern w:val="2"/>
          <w:lang w:val="en-US" w:eastAsia="zh-CN"/>
        </w:rPr>
        <w:t>安全评价检测检验机构开展技术服务时未与委托方签订技术服务合同。</w:t>
      </w:r>
    </w:p>
    <w:p w14:paraId="26815889">
      <w:pPr>
        <w:spacing w:line="590" w:lineRule="exact"/>
        <w:rPr>
          <w:rFonts w:ascii="仿宋" w:hAnsi="仿宋" w:eastAsia="仿宋" w:cs="仿宋"/>
          <w:i w:val="0"/>
          <w:iCs w:val="0"/>
          <w:caps w:val="0"/>
          <w:color w:val="333333"/>
          <w:spacing w:val="0"/>
          <w:sz w:val="32"/>
          <w:szCs w:val="32"/>
          <w:shd w:val="clear" w:fill="FFFFFF"/>
        </w:rPr>
      </w:pPr>
      <w:r>
        <w:rPr>
          <w:rStyle w:val="9"/>
          <w:kern w:val="2"/>
        </w:rPr>
        <w:t>【</w:t>
      </w:r>
      <w:r>
        <w:rPr>
          <w:rStyle w:val="9"/>
          <w:rFonts w:hint="eastAsia" w:eastAsia="方正楷体_GBK"/>
          <w:kern w:val="2"/>
          <w:lang w:val="en-US" w:eastAsia="zh-CN"/>
        </w:rPr>
        <w:t>义务条款及罚则</w:t>
      </w:r>
      <w:r>
        <w:rPr>
          <w:rStyle w:val="9"/>
          <w:kern w:val="2"/>
        </w:rPr>
        <w:t>】</w:t>
      </w:r>
      <w:r>
        <w:rPr>
          <w:rFonts w:hint="eastAsia"/>
          <w:kern w:val="2"/>
        </w:rPr>
        <w:t>《</w:t>
      </w:r>
      <w:r>
        <w:rPr>
          <w:rFonts w:hint="eastAsia"/>
          <w:kern w:val="2"/>
          <w:lang w:val="en-US" w:eastAsia="zh-CN"/>
        </w:rPr>
        <w:t>安全评价检测检验机构管理办法》第十六条第一款：生产经营单位委托安全评价</w:t>
      </w:r>
      <w:r>
        <w:rPr>
          <w:rFonts w:ascii="仿宋" w:hAnsi="仿宋" w:eastAsia="仿宋" w:cs="仿宋"/>
          <w:i w:val="0"/>
          <w:iCs w:val="0"/>
          <w:caps w:val="0"/>
          <w:color w:val="333333"/>
          <w:spacing w:val="0"/>
          <w:sz w:val="32"/>
          <w:szCs w:val="32"/>
          <w:shd w:val="clear" w:fill="FFFFFF"/>
        </w:rPr>
        <w:t>检测检验机构开展技术服务时，应当签订委托技术服务合同，明确服务对象、范围、权利、义务和责任。</w:t>
      </w:r>
    </w:p>
    <w:p w14:paraId="28B826F2">
      <w:pPr>
        <w:spacing w:line="590" w:lineRule="exact"/>
        <w:rPr>
          <w:rFonts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安全评价检测检验机构管理办法》</w:t>
      </w:r>
      <w:r>
        <w:rPr>
          <w:rFonts w:hint="eastAsia" w:ascii="仿宋" w:hAnsi="仿宋" w:eastAsia="仿宋" w:cs="仿宋"/>
          <w:i w:val="0"/>
          <w:iCs w:val="0"/>
          <w:caps w:val="0"/>
          <w:color w:val="333333"/>
          <w:spacing w:val="0"/>
          <w:sz w:val="32"/>
          <w:szCs w:val="32"/>
          <w:shd w:val="clear" w:fill="FFFFFF"/>
        </w:rPr>
        <w:t>第</w:t>
      </w:r>
      <w:r>
        <w:rPr>
          <w:rFonts w:hint="eastAsia" w:ascii="仿宋" w:hAnsi="仿宋" w:eastAsia="仿宋" w:cs="仿宋"/>
          <w:i w:val="0"/>
          <w:iCs w:val="0"/>
          <w:caps w:val="0"/>
          <w:color w:val="333333"/>
          <w:spacing w:val="0"/>
          <w:sz w:val="32"/>
          <w:szCs w:val="32"/>
          <w:shd w:val="clear" w:fill="FFFFFF"/>
          <w:lang w:val="en-US" w:eastAsia="zh-CN"/>
        </w:rPr>
        <w:t>三十</w:t>
      </w:r>
      <w:r>
        <w:rPr>
          <w:rFonts w:hint="eastAsia" w:ascii="仿宋" w:hAnsi="仿宋" w:eastAsia="仿宋" w:cs="仿宋"/>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lang w:val="en-US" w:eastAsia="zh-CN"/>
        </w:rPr>
        <w:t>第（一）项</w:t>
      </w:r>
      <w:r>
        <w:rPr>
          <w:rFonts w:hint="eastAsia" w:ascii="仿宋" w:hAnsi="仿宋" w:eastAsia="仿宋" w:cs="仿宋"/>
          <w:i w:val="0"/>
          <w:iCs w:val="0"/>
          <w:caps w:val="0"/>
          <w:color w:val="333333"/>
          <w:spacing w:val="0"/>
          <w:sz w:val="32"/>
          <w:szCs w:val="32"/>
          <w:shd w:val="clear" w:fill="FFFFFF"/>
        </w:rPr>
        <w:t>：</w:t>
      </w:r>
      <w:r>
        <w:rPr>
          <w:rFonts w:ascii="仿宋" w:hAnsi="仿宋" w:eastAsia="仿宋" w:cs="仿宋"/>
          <w:i w:val="0"/>
          <w:iCs w:val="0"/>
          <w:caps w:val="0"/>
          <w:color w:val="333333"/>
          <w:spacing w:val="0"/>
          <w:sz w:val="32"/>
          <w:szCs w:val="32"/>
          <w:shd w:val="clear" w:fill="FFFFFF"/>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6B8D80EB">
      <w:pPr>
        <w:spacing w:line="590" w:lineRule="exact"/>
        <w:rPr>
          <w:rFonts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（一）未依法与委托方签订技术服务合同的</w:t>
      </w:r>
    </w:p>
    <w:p w14:paraId="34DC43E2">
      <w:pPr>
        <w:spacing w:line="590" w:lineRule="exact"/>
        <w:rPr>
          <w:rFonts w:hint="eastAsia"/>
          <w:kern w:val="2"/>
        </w:rPr>
      </w:pPr>
    </w:p>
    <w:p w14:paraId="362518AD">
      <w:pPr>
        <w:spacing w:line="590" w:lineRule="exact"/>
        <w:rPr>
          <w:rFonts w:hint="eastAsia"/>
          <w:kern w:val="2"/>
        </w:rPr>
      </w:pPr>
    </w:p>
    <w:p w14:paraId="0A0CE336">
      <w:pPr>
        <w:spacing w:line="590" w:lineRule="exact"/>
        <w:ind w:left="0" w:leftChars="0" w:firstLine="0" w:firstLineChars="0"/>
        <w:outlineLvl w:val="1"/>
        <w:rPr>
          <w:kern w:val="2"/>
        </w:rPr>
      </w:pPr>
    </w:p>
    <w:sectPr>
      <w:footerReference r:id="rId5" w:type="default"/>
      <w:pgSz w:w="11906" w:h="16838"/>
      <w:pgMar w:top="2098" w:right="1531" w:bottom="1701" w:left="1531" w:header="851" w:footer="992" w:gutter="0"/>
      <w:pgNumType w:fmt="numberInDash"/>
      <w:cols w:space="720" w:num="1"/>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A29E">
    <w:pPr>
      <w:snapToGrid w:val="0"/>
      <w:ind w:firstLine="0" w:firstLineChars="0"/>
      <w:jc w:val="left"/>
      <w:rPr>
        <w:rFonts w:eastAsia="宋体"/>
        <w:kern w:val="2"/>
        <w:sz w:val="28"/>
      </w:rPr>
    </w:pPr>
    <w:r>
      <w:rPr>
        <w:rFonts w:eastAsia="宋体"/>
        <w:kern w:val="2"/>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0ADD5">
                          <w:pPr>
                            <w:snapToGrid w:val="0"/>
                            <w:ind w:firstLine="0" w:firstLineChars="0"/>
                            <w:jc w:val="left"/>
                            <w:rPr>
                              <w:rFonts w:hint="eastAsia" w:ascii="宋体" w:hAnsi="宋体" w:eastAsia="宋体" w:cs="宋体"/>
                              <w:kern w:val="2"/>
                              <w:sz w:val="28"/>
                            </w:rPr>
                          </w:pPr>
                          <w:r>
                            <w:rPr>
                              <w:rFonts w:hint="eastAsia" w:ascii="宋体" w:hAnsi="宋体" w:eastAsia="宋体" w:cs="宋体"/>
                              <w:kern w:val="2"/>
                              <w:sz w:val="28"/>
                            </w:rPr>
                            <w:fldChar w:fldCharType="begin"/>
                          </w:r>
                          <w:r>
                            <w:rPr>
                              <w:rFonts w:hint="eastAsia" w:ascii="宋体" w:hAnsi="宋体" w:eastAsia="宋体" w:cs="宋体"/>
                              <w:kern w:val="2"/>
                              <w:sz w:val="28"/>
                            </w:rPr>
                            <w:instrText xml:space="preserve"> PAGE  \* MERGEFORMAT </w:instrText>
                          </w:r>
                          <w:r>
                            <w:rPr>
                              <w:rFonts w:hint="eastAsia" w:ascii="宋体" w:hAnsi="宋体" w:eastAsia="宋体" w:cs="宋体"/>
                              <w:kern w:val="2"/>
                              <w:sz w:val="28"/>
                            </w:rPr>
                            <w:fldChar w:fldCharType="separate"/>
                          </w:r>
                          <w:r>
                            <w:rPr>
                              <w:rFonts w:ascii="宋体" w:hAnsi="宋体" w:eastAsia="宋体" w:cs="宋体"/>
                              <w:kern w:val="2"/>
                              <w:sz w:val="28"/>
                            </w:rPr>
                            <w:t>- 34 -</w:t>
                          </w:r>
                          <w:r>
                            <w:rPr>
                              <w:rFonts w:hint="eastAsia" w:ascii="宋体" w:hAnsi="宋体" w:eastAsia="宋体" w:cs="宋体"/>
                              <w:kern w:val="2"/>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60ADD5">
                    <w:pPr>
                      <w:snapToGrid w:val="0"/>
                      <w:ind w:firstLine="0" w:firstLineChars="0"/>
                      <w:jc w:val="left"/>
                      <w:rPr>
                        <w:rFonts w:hint="eastAsia" w:ascii="宋体" w:hAnsi="宋体" w:eastAsia="宋体" w:cs="宋体"/>
                        <w:kern w:val="2"/>
                        <w:sz w:val="28"/>
                      </w:rPr>
                    </w:pPr>
                    <w:r>
                      <w:rPr>
                        <w:rFonts w:hint="eastAsia" w:ascii="宋体" w:hAnsi="宋体" w:eastAsia="宋体" w:cs="宋体"/>
                        <w:kern w:val="2"/>
                        <w:sz w:val="28"/>
                      </w:rPr>
                      <w:fldChar w:fldCharType="begin"/>
                    </w:r>
                    <w:r>
                      <w:rPr>
                        <w:rFonts w:hint="eastAsia" w:ascii="宋体" w:hAnsi="宋体" w:eastAsia="宋体" w:cs="宋体"/>
                        <w:kern w:val="2"/>
                        <w:sz w:val="28"/>
                      </w:rPr>
                      <w:instrText xml:space="preserve"> PAGE  \* MERGEFORMAT </w:instrText>
                    </w:r>
                    <w:r>
                      <w:rPr>
                        <w:rFonts w:hint="eastAsia" w:ascii="宋体" w:hAnsi="宋体" w:eastAsia="宋体" w:cs="宋体"/>
                        <w:kern w:val="2"/>
                        <w:sz w:val="28"/>
                      </w:rPr>
                      <w:fldChar w:fldCharType="separate"/>
                    </w:r>
                    <w:r>
                      <w:rPr>
                        <w:rFonts w:ascii="宋体" w:hAnsi="宋体" w:eastAsia="宋体" w:cs="宋体"/>
                        <w:kern w:val="2"/>
                        <w:sz w:val="28"/>
                      </w:rPr>
                      <w:t>- 34 -</w:t>
                    </w:r>
                    <w:r>
                      <w:rPr>
                        <w:rFonts w:hint="eastAsia" w:ascii="宋体" w:hAnsi="宋体" w:eastAsia="宋体" w:cs="宋体"/>
                        <w:kern w:val="2"/>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906DE"/>
    <w:multiLevelType w:val="singleLevel"/>
    <w:tmpl w:val="9F7906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GM4N2Q3NTliNmYzZDhmM2NmMTY4MzZkZjI5YzYifQ=="/>
  </w:docVars>
  <w:rsids>
    <w:rsidRoot w:val="55556085"/>
    <w:rsid w:val="00090EE4"/>
    <w:rsid w:val="00DA3822"/>
    <w:rsid w:val="013D63E0"/>
    <w:rsid w:val="023748C1"/>
    <w:rsid w:val="03F43ED9"/>
    <w:rsid w:val="04506126"/>
    <w:rsid w:val="05CE61C9"/>
    <w:rsid w:val="08006A8E"/>
    <w:rsid w:val="0D0C7FE8"/>
    <w:rsid w:val="11482EBE"/>
    <w:rsid w:val="148F51CD"/>
    <w:rsid w:val="14D12611"/>
    <w:rsid w:val="16B72E6E"/>
    <w:rsid w:val="17C82183"/>
    <w:rsid w:val="1E76741B"/>
    <w:rsid w:val="1F6F4CDC"/>
    <w:rsid w:val="215E1411"/>
    <w:rsid w:val="21DC4792"/>
    <w:rsid w:val="22A46395"/>
    <w:rsid w:val="26060E26"/>
    <w:rsid w:val="27DB69A0"/>
    <w:rsid w:val="27EF1A84"/>
    <w:rsid w:val="283536C5"/>
    <w:rsid w:val="2A5C57A7"/>
    <w:rsid w:val="2CC862AE"/>
    <w:rsid w:val="2F76182E"/>
    <w:rsid w:val="30BB2AFC"/>
    <w:rsid w:val="31CF2D03"/>
    <w:rsid w:val="34F95C01"/>
    <w:rsid w:val="36267B57"/>
    <w:rsid w:val="3B8B22B1"/>
    <w:rsid w:val="3D1B3E52"/>
    <w:rsid w:val="3D811F6A"/>
    <w:rsid w:val="437F4EB7"/>
    <w:rsid w:val="439528B9"/>
    <w:rsid w:val="43957EDD"/>
    <w:rsid w:val="46856C8C"/>
    <w:rsid w:val="48E2092A"/>
    <w:rsid w:val="49A6413E"/>
    <w:rsid w:val="4BCD3901"/>
    <w:rsid w:val="4F216003"/>
    <w:rsid w:val="4F5D44E8"/>
    <w:rsid w:val="5054476F"/>
    <w:rsid w:val="50854E72"/>
    <w:rsid w:val="525A7D53"/>
    <w:rsid w:val="52E34377"/>
    <w:rsid w:val="52EA730C"/>
    <w:rsid w:val="53497A6E"/>
    <w:rsid w:val="53F005B4"/>
    <w:rsid w:val="53F16ED7"/>
    <w:rsid w:val="544F4F5F"/>
    <w:rsid w:val="55556085"/>
    <w:rsid w:val="57007337"/>
    <w:rsid w:val="5B427A19"/>
    <w:rsid w:val="5B527A35"/>
    <w:rsid w:val="5B555777"/>
    <w:rsid w:val="5BF479E8"/>
    <w:rsid w:val="5C2A6C04"/>
    <w:rsid w:val="5C753532"/>
    <w:rsid w:val="6158057D"/>
    <w:rsid w:val="65584011"/>
    <w:rsid w:val="65ED13AA"/>
    <w:rsid w:val="675073D0"/>
    <w:rsid w:val="67691A21"/>
    <w:rsid w:val="68A63FCB"/>
    <w:rsid w:val="69072AAF"/>
    <w:rsid w:val="6B1470A9"/>
    <w:rsid w:val="6D821C9F"/>
    <w:rsid w:val="6EC96AE0"/>
    <w:rsid w:val="6EF62D6C"/>
    <w:rsid w:val="6F8404AC"/>
    <w:rsid w:val="6F8E32E6"/>
    <w:rsid w:val="70AF52F6"/>
    <w:rsid w:val="712C614A"/>
    <w:rsid w:val="715C3214"/>
    <w:rsid w:val="721F4148"/>
    <w:rsid w:val="72B077B6"/>
    <w:rsid w:val="77177F50"/>
    <w:rsid w:val="78EF6552"/>
    <w:rsid w:val="7BE338D8"/>
    <w:rsid w:val="7F86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Times New Roman" w:hAnsi="Times New Roman" w:eastAsia="方正仿宋_GBK" w:cs="Times New Roman"/>
      <w:kern w:val="10"/>
      <w:sz w:val="32"/>
      <w:szCs w:val="32"/>
      <w:lang w:val="en-US" w:eastAsia="zh-CN" w:bidi="ar-SA"/>
    </w:rPr>
  </w:style>
  <w:style w:type="paragraph" w:styleId="2">
    <w:name w:val="heading 2"/>
    <w:basedOn w:val="1"/>
    <w:next w:val="1"/>
    <w:link w:val="10"/>
    <w:qFormat/>
    <w:uiPriority w:val="0"/>
    <w:pPr>
      <w:keepNext w:val="0"/>
      <w:keepLines w:val="0"/>
      <w:spacing w:beforeLines="0" w:beforeAutospacing="0" w:afterLines="0" w:afterAutospacing="0" w:line="580" w:lineRule="exact"/>
      <w:ind w:firstLine="880" w:firstLineChars="200"/>
      <w:outlineLvl w:val="1"/>
    </w:pPr>
    <w:rPr>
      <w:rFonts w:ascii="Arial" w:hAnsi="Arial" w:eastAsia="方正黑体_GBK"/>
    </w:rPr>
  </w:style>
  <w:style w:type="paragraph" w:styleId="3">
    <w:name w:val="heading 3"/>
    <w:basedOn w:val="1"/>
    <w:next w:val="1"/>
    <w:link w:val="9"/>
    <w:qFormat/>
    <w:uiPriority w:val="0"/>
    <w:pPr>
      <w:keepNext w:val="0"/>
      <w:keepLines w:val="0"/>
      <w:spacing w:beforeLines="0" w:beforeAutospacing="0" w:afterLines="0" w:afterAutospacing="0" w:line="580" w:lineRule="exact"/>
      <w:outlineLvl w:val="2"/>
    </w:pPr>
    <w:rPr>
      <w:rFonts w:ascii="Times New Roman" w:hAnsi="Times New Roman" w:eastAsia="方正楷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3 Char"/>
    <w:link w:val="3"/>
    <w:qFormat/>
    <w:uiPriority w:val="0"/>
    <w:rPr>
      <w:rFonts w:ascii="Times New Roman" w:hAnsi="Times New Roman" w:eastAsia="方正楷体_GBK"/>
    </w:rPr>
  </w:style>
  <w:style w:type="character" w:customStyle="1" w:styleId="10">
    <w:name w:val="标题 2 Char"/>
    <w:link w:val="2"/>
    <w:qFormat/>
    <w:uiPriority w:val="0"/>
    <w:rPr>
      <w:rFonts w:ascii="Arial" w:hAnsi="Arial" w:eastAsia="方正黑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4125</Words>
  <Characters>4147</Characters>
  <Lines>0</Lines>
  <Paragraphs>0</Paragraphs>
  <TotalTime>0</TotalTime>
  <ScaleCrop>false</ScaleCrop>
  <LinksUpToDate>false</LinksUpToDate>
  <CharactersWithSpaces>4151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2024-07-01T08:01:00Z</dcterms:created>
  <dc:creator>admin</dc:creator>
  <cp:lastModifiedBy>admin</cp:lastModifiedBy>
  <cp:lastPrinted>2024-09-03T09:25:00Z</cp:lastPrinted>
  <dcterms:modified xsi:type="dcterms:W3CDTF">2024-09-06T01:14:29Z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E89106D158164E37A331AE254286B9BE_13</vt:lpwstr>
  </property>
</Properties>
</file>